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70FC61" w14:textId="41828A55" w:rsidR="00E73575" w:rsidRPr="00DE0582" w:rsidRDefault="00E73575" w:rsidP="00DE0582">
      <w:pPr>
        <w:jc w:val="both"/>
        <w:rPr>
          <w:rFonts w:ascii="Arial" w:hAnsi="Arial" w:cs="Arial"/>
          <w:sz w:val="22"/>
          <w:szCs w:val="22"/>
        </w:rPr>
      </w:pPr>
      <w:r w:rsidRPr="00DE0582">
        <w:rPr>
          <w:rFonts w:ascii="Arial" w:hAnsi="Arial" w:cs="Arial"/>
          <w:sz w:val="22"/>
          <w:szCs w:val="22"/>
        </w:rPr>
        <w:t>Doctora:</w:t>
      </w:r>
    </w:p>
    <w:p w14:paraId="4801B7D2" w14:textId="195EC12B" w:rsidR="00E73575" w:rsidRPr="00DE0582" w:rsidRDefault="00E73575" w:rsidP="00DE0582">
      <w:pPr>
        <w:jc w:val="both"/>
        <w:rPr>
          <w:rFonts w:ascii="Arial" w:hAnsi="Arial" w:cs="Arial"/>
          <w:b/>
          <w:bCs/>
          <w:sz w:val="22"/>
          <w:szCs w:val="22"/>
        </w:rPr>
      </w:pPr>
      <w:r w:rsidRPr="00DE0582">
        <w:rPr>
          <w:rFonts w:ascii="Arial" w:hAnsi="Arial" w:cs="Arial"/>
          <w:b/>
          <w:bCs/>
          <w:sz w:val="22"/>
          <w:szCs w:val="22"/>
        </w:rPr>
        <w:t>Luz Amparo Quintero Linares</w:t>
      </w:r>
    </w:p>
    <w:p w14:paraId="3635F6A4" w14:textId="77777777" w:rsidR="00E73575" w:rsidRPr="00DE0582" w:rsidRDefault="00E73575" w:rsidP="00DE0582">
      <w:pPr>
        <w:jc w:val="both"/>
        <w:rPr>
          <w:rFonts w:ascii="Arial" w:hAnsi="Arial" w:cs="Arial"/>
          <w:sz w:val="22"/>
          <w:szCs w:val="22"/>
        </w:rPr>
      </w:pPr>
      <w:r w:rsidRPr="00DE0582">
        <w:rPr>
          <w:rFonts w:ascii="Arial" w:hAnsi="Arial" w:cs="Arial"/>
          <w:sz w:val="22"/>
          <w:szCs w:val="22"/>
        </w:rPr>
        <w:t>Subdirectora de Operaciones Financieras</w:t>
      </w:r>
    </w:p>
    <w:p w14:paraId="63253E80" w14:textId="45131D94" w:rsidR="00E73575" w:rsidRPr="00DE0582" w:rsidRDefault="00E73575" w:rsidP="00DE0582">
      <w:pPr>
        <w:jc w:val="both"/>
        <w:rPr>
          <w:rFonts w:ascii="Arial" w:hAnsi="Arial" w:cs="Arial"/>
          <w:sz w:val="22"/>
          <w:szCs w:val="22"/>
        </w:rPr>
      </w:pPr>
      <w:r w:rsidRPr="00DE0582">
        <w:rPr>
          <w:rFonts w:ascii="Arial" w:hAnsi="Arial" w:cs="Arial"/>
          <w:sz w:val="22"/>
          <w:szCs w:val="22"/>
        </w:rPr>
        <w:t>Dirección Distrital de Tesorería</w:t>
      </w:r>
    </w:p>
    <w:p w14:paraId="09629807" w14:textId="1F5AD109" w:rsidR="003F322C" w:rsidRPr="00DE0582" w:rsidRDefault="003F322C" w:rsidP="00DE0582">
      <w:pPr>
        <w:jc w:val="both"/>
        <w:rPr>
          <w:rFonts w:ascii="Arial" w:hAnsi="Arial" w:cs="Arial"/>
          <w:sz w:val="22"/>
          <w:szCs w:val="22"/>
        </w:rPr>
      </w:pPr>
      <w:r w:rsidRPr="00DE0582">
        <w:rPr>
          <w:rFonts w:ascii="Arial" w:hAnsi="Arial" w:cs="Arial"/>
          <w:sz w:val="22"/>
          <w:szCs w:val="22"/>
        </w:rPr>
        <w:t>Secretaria de Hacienda Distrital</w:t>
      </w:r>
    </w:p>
    <w:p w14:paraId="7A120030" w14:textId="01AE3050" w:rsidR="005E0475" w:rsidRPr="00DE0582" w:rsidRDefault="005E0475" w:rsidP="00DE0582">
      <w:pPr>
        <w:jc w:val="both"/>
        <w:rPr>
          <w:rFonts w:ascii="Arial" w:hAnsi="Arial" w:cs="Arial"/>
          <w:sz w:val="22"/>
          <w:szCs w:val="22"/>
        </w:rPr>
      </w:pPr>
      <w:r w:rsidRPr="00DE0582">
        <w:rPr>
          <w:rFonts w:ascii="Arial" w:hAnsi="Arial" w:cs="Arial"/>
          <w:sz w:val="22"/>
          <w:szCs w:val="22"/>
        </w:rPr>
        <w:t>Carrera 30 N° 25-90 - Bogotá</w:t>
      </w:r>
    </w:p>
    <w:p w14:paraId="49D89E58" w14:textId="77777777" w:rsidR="003F322C" w:rsidRPr="00DE0582" w:rsidRDefault="003F322C" w:rsidP="00DE0582">
      <w:pPr>
        <w:rPr>
          <w:rFonts w:ascii="Arial" w:hAnsi="Arial" w:cs="Arial"/>
          <w:sz w:val="22"/>
          <w:szCs w:val="22"/>
        </w:rPr>
      </w:pPr>
      <w:hyperlink r:id="rId11" w:history="1">
        <w:r w:rsidRPr="00DE0582">
          <w:rPr>
            <w:rStyle w:val="Hipervnculo"/>
            <w:rFonts w:ascii="Arial" w:hAnsi="Arial" w:cs="Arial"/>
            <w:sz w:val="22"/>
            <w:szCs w:val="22"/>
          </w:rPr>
          <w:t>radicacionhaciendabogota@shd.gov.co</w:t>
        </w:r>
      </w:hyperlink>
    </w:p>
    <w:p w14:paraId="163F8038" w14:textId="77777777" w:rsidR="003F322C" w:rsidRPr="00DE0582" w:rsidRDefault="003F322C" w:rsidP="00DE0582">
      <w:pPr>
        <w:rPr>
          <w:rFonts w:ascii="Arial" w:hAnsi="Arial" w:cs="Arial"/>
          <w:sz w:val="22"/>
          <w:szCs w:val="22"/>
        </w:rPr>
      </w:pPr>
      <w:hyperlink r:id="rId12" w:history="1">
        <w:r w:rsidRPr="00DE0582">
          <w:rPr>
            <w:rStyle w:val="Hipervnculo"/>
            <w:rFonts w:ascii="Arial" w:hAnsi="Arial" w:cs="Arial"/>
            <w:sz w:val="22"/>
            <w:szCs w:val="22"/>
          </w:rPr>
          <w:t>nruizm@shd.gov.co</w:t>
        </w:r>
      </w:hyperlink>
      <w:r w:rsidRPr="00DE0582">
        <w:rPr>
          <w:rFonts w:ascii="Arial" w:hAnsi="Arial" w:cs="Arial"/>
          <w:sz w:val="22"/>
          <w:szCs w:val="22"/>
        </w:rPr>
        <w:t xml:space="preserve"> </w:t>
      </w:r>
    </w:p>
    <w:p w14:paraId="1D26AD8D" w14:textId="77777777" w:rsidR="003F322C" w:rsidRPr="00DE0582" w:rsidRDefault="003F322C" w:rsidP="00DE0582">
      <w:pPr>
        <w:rPr>
          <w:rFonts w:ascii="Arial" w:hAnsi="Arial" w:cs="Arial"/>
          <w:sz w:val="22"/>
          <w:szCs w:val="22"/>
        </w:rPr>
      </w:pPr>
      <w:hyperlink r:id="rId13" w:history="1">
        <w:r w:rsidRPr="00DE0582">
          <w:rPr>
            <w:rStyle w:val="Hipervnculo"/>
            <w:rFonts w:ascii="Arial" w:hAnsi="Arial" w:cs="Arial"/>
            <w:sz w:val="22"/>
            <w:szCs w:val="22"/>
          </w:rPr>
          <w:t>lphormaza@shd.vog.co</w:t>
        </w:r>
      </w:hyperlink>
    </w:p>
    <w:p w14:paraId="05112BA3" w14:textId="77777777" w:rsidR="00E73575" w:rsidRPr="00DE0582" w:rsidRDefault="00E73575" w:rsidP="00DE0582">
      <w:pPr>
        <w:jc w:val="both"/>
        <w:rPr>
          <w:rFonts w:ascii="Arial" w:hAnsi="Arial" w:cs="Arial"/>
          <w:b/>
          <w:bCs/>
          <w:sz w:val="22"/>
          <w:szCs w:val="22"/>
        </w:rPr>
      </w:pPr>
    </w:p>
    <w:p w14:paraId="628976A7" w14:textId="77777777" w:rsidR="00E73575" w:rsidRPr="00DE0582" w:rsidRDefault="00E73575" w:rsidP="00DE0582">
      <w:pPr>
        <w:jc w:val="both"/>
        <w:rPr>
          <w:rFonts w:ascii="Arial" w:hAnsi="Arial" w:cs="Arial"/>
          <w:b/>
          <w:bCs/>
          <w:sz w:val="22"/>
          <w:szCs w:val="22"/>
        </w:rPr>
      </w:pPr>
    </w:p>
    <w:p w14:paraId="23DAAE23" w14:textId="0B9F1F92" w:rsidR="31560F9C" w:rsidRPr="00DE0582" w:rsidRDefault="31560F9C" w:rsidP="00DE0582">
      <w:pPr>
        <w:jc w:val="both"/>
        <w:rPr>
          <w:rFonts w:ascii="Arial" w:hAnsi="Arial" w:cs="Arial"/>
          <w:sz w:val="22"/>
          <w:szCs w:val="22"/>
        </w:rPr>
      </w:pPr>
      <w:r w:rsidRPr="00DE0582">
        <w:rPr>
          <w:rFonts w:ascii="Arial" w:hAnsi="Arial" w:cs="Arial"/>
          <w:b/>
          <w:bCs/>
          <w:sz w:val="22"/>
          <w:szCs w:val="22"/>
        </w:rPr>
        <w:t>Referencia</w:t>
      </w:r>
      <w:r w:rsidR="0F079608" w:rsidRPr="00DE0582">
        <w:rPr>
          <w:rFonts w:ascii="Arial" w:hAnsi="Arial" w:cs="Arial"/>
          <w:b/>
          <w:bCs/>
          <w:sz w:val="22"/>
          <w:szCs w:val="22"/>
        </w:rPr>
        <w:t xml:space="preserve">: </w:t>
      </w:r>
      <w:r w:rsidR="54783BFD" w:rsidRPr="00DE0582">
        <w:rPr>
          <w:rFonts w:ascii="Arial" w:hAnsi="Arial" w:cs="Arial"/>
          <w:sz w:val="22"/>
          <w:szCs w:val="22"/>
        </w:rPr>
        <w:t xml:space="preserve">Respuesta </w:t>
      </w:r>
      <w:r w:rsidR="002C3B33" w:rsidRPr="00DE0582">
        <w:rPr>
          <w:rFonts w:ascii="Arial" w:hAnsi="Arial" w:cs="Arial"/>
          <w:sz w:val="22"/>
          <w:szCs w:val="22"/>
        </w:rPr>
        <w:t>solicitud información de emb</w:t>
      </w:r>
      <w:r w:rsidR="00E73575" w:rsidRPr="00DE0582">
        <w:rPr>
          <w:rFonts w:ascii="Arial" w:hAnsi="Arial" w:cs="Arial"/>
          <w:sz w:val="22"/>
          <w:szCs w:val="22"/>
        </w:rPr>
        <w:t xml:space="preserve">argos radicado 2026EE458930O1 del </w:t>
      </w:r>
      <w:r w:rsidR="003F322C" w:rsidRPr="00DE0582">
        <w:rPr>
          <w:rFonts w:ascii="Arial" w:hAnsi="Arial" w:cs="Arial"/>
          <w:sz w:val="22"/>
          <w:szCs w:val="22"/>
        </w:rPr>
        <w:t>29</w:t>
      </w:r>
      <w:r w:rsidR="00E73575" w:rsidRPr="00DE0582">
        <w:rPr>
          <w:rFonts w:ascii="Arial" w:hAnsi="Arial" w:cs="Arial"/>
          <w:sz w:val="22"/>
          <w:szCs w:val="22"/>
        </w:rPr>
        <w:t xml:space="preserve"> de abril de 2026</w:t>
      </w:r>
    </w:p>
    <w:p w14:paraId="34E6099F" w14:textId="77777777" w:rsidR="00E73575" w:rsidRPr="00DE0582" w:rsidRDefault="00E73575" w:rsidP="00DE0582">
      <w:pPr>
        <w:jc w:val="both"/>
        <w:rPr>
          <w:rFonts w:ascii="Arial" w:hAnsi="Arial" w:cs="Arial"/>
          <w:sz w:val="22"/>
          <w:szCs w:val="22"/>
        </w:rPr>
      </w:pPr>
    </w:p>
    <w:p w14:paraId="05506A65" w14:textId="728ADE2E" w:rsidR="00E73575" w:rsidRPr="00DE0582" w:rsidRDefault="13745329" w:rsidP="00DE0582">
      <w:pPr>
        <w:autoSpaceDE w:val="0"/>
        <w:autoSpaceDN w:val="0"/>
        <w:adjustRightInd w:val="0"/>
        <w:jc w:val="both"/>
        <w:rPr>
          <w:rFonts w:ascii="Arial" w:hAnsi="Arial" w:cs="Arial"/>
          <w:i/>
          <w:iCs/>
          <w:sz w:val="22"/>
          <w:szCs w:val="22"/>
        </w:rPr>
      </w:pPr>
      <w:r w:rsidRPr="00DE0582">
        <w:rPr>
          <w:rFonts w:ascii="Arial" w:eastAsia="Arial" w:hAnsi="Arial" w:cs="Arial"/>
          <w:sz w:val="22"/>
          <w:szCs w:val="22"/>
        </w:rPr>
        <w:t xml:space="preserve">En atención a su comunicación relacionada con el seguimiento al levantamiento de medidas cautelares </w:t>
      </w:r>
      <w:r w:rsidR="00E73575" w:rsidRPr="00DE0582">
        <w:rPr>
          <w:rFonts w:ascii="Arial" w:eastAsia="Arial" w:hAnsi="Arial" w:cs="Arial"/>
          <w:sz w:val="22"/>
          <w:szCs w:val="22"/>
        </w:rPr>
        <w:t xml:space="preserve">que recaen </w:t>
      </w:r>
      <w:r w:rsidRPr="00DE0582">
        <w:rPr>
          <w:rFonts w:ascii="Arial" w:eastAsia="Arial" w:hAnsi="Arial" w:cs="Arial"/>
          <w:sz w:val="22"/>
          <w:szCs w:val="22"/>
        </w:rPr>
        <w:t>sobre los recursos</w:t>
      </w:r>
      <w:r w:rsidR="00E73575" w:rsidRPr="00DE0582">
        <w:rPr>
          <w:rFonts w:ascii="Arial" w:eastAsia="Arial" w:hAnsi="Arial" w:cs="Arial"/>
          <w:sz w:val="22"/>
          <w:szCs w:val="22"/>
        </w:rPr>
        <w:t xml:space="preserve"> de las </w:t>
      </w:r>
      <w:r w:rsidR="00E73575" w:rsidRPr="00DE0582">
        <w:rPr>
          <w:rFonts w:ascii="Arial" w:hAnsi="Arial" w:cs="Arial"/>
          <w:sz w:val="22"/>
          <w:szCs w:val="22"/>
        </w:rPr>
        <w:t>cuentas bancarias que administra la Dirección Distrital de Tesorería</w:t>
      </w:r>
      <w:r w:rsidR="00E73575" w:rsidRPr="00DE0582">
        <w:rPr>
          <w:rFonts w:ascii="Arial" w:eastAsia="Arial" w:hAnsi="Arial" w:cs="Arial"/>
          <w:sz w:val="22"/>
          <w:szCs w:val="22"/>
        </w:rPr>
        <w:t xml:space="preserve"> y a través de la cual solicita a FONCEP “</w:t>
      </w:r>
      <w:r w:rsidR="00E73575" w:rsidRPr="00DE0582">
        <w:rPr>
          <w:rFonts w:ascii="Arial" w:hAnsi="Arial" w:cs="Arial"/>
          <w:i/>
          <w:iCs/>
          <w:sz w:val="22"/>
          <w:szCs w:val="22"/>
        </w:rPr>
        <w:t>informar el estado actual y la gestión realizada de los procesos de embargos a cargo de esa entidad, para el levantamiento de la medida cautelar. Los cuales se relacionan a continuación:</w:t>
      </w:r>
    </w:p>
    <w:p w14:paraId="68176561" w14:textId="77777777" w:rsidR="00E73575" w:rsidRPr="00DE0582" w:rsidRDefault="00E73575" w:rsidP="00DE0582">
      <w:pPr>
        <w:autoSpaceDE w:val="0"/>
        <w:autoSpaceDN w:val="0"/>
        <w:adjustRightInd w:val="0"/>
        <w:rPr>
          <w:rFonts w:ascii="Arial" w:hAnsi="Arial" w:cs="Arial"/>
          <w:i/>
          <w:iCs/>
          <w:sz w:val="22"/>
          <w:szCs w:val="22"/>
        </w:rPr>
      </w:pPr>
    </w:p>
    <w:p w14:paraId="790E5FE2" w14:textId="7C446D05" w:rsidR="00E73575" w:rsidRPr="00DE0582" w:rsidRDefault="00E73575" w:rsidP="00DE0582">
      <w:pPr>
        <w:autoSpaceDE w:val="0"/>
        <w:autoSpaceDN w:val="0"/>
        <w:adjustRightInd w:val="0"/>
        <w:rPr>
          <w:rFonts w:ascii="Arial" w:hAnsi="Arial" w:cs="Arial"/>
          <w:i/>
          <w:iCs/>
          <w:sz w:val="22"/>
          <w:szCs w:val="22"/>
        </w:rPr>
      </w:pPr>
      <w:r w:rsidRPr="00DE0582">
        <w:rPr>
          <w:rFonts w:ascii="Arial" w:hAnsi="Arial" w:cs="Arial"/>
          <w:i/>
          <w:iCs/>
          <w:sz w:val="22"/>
          <w:szCs w:val="22"/>
        </w:rPr>
        <w:t>1. Luis Eduardo Conde Molina, radicado No. 2011-007140, Valor $200.000.000.</w:t>
      </w:r>
    </w:p>
    <w:p w14:paraId="577C9227" w14:textId="7A19CDFF" w:rsidR="00E73575" w:rsidRPr="00DE0582" w:rsidRDefault="00E73575" w:rsidP="00DE0582">
      <w:pPr>
        <w:autoSpaceDE w:val="0"/>
        <w:autoSpaceDN w:val="0"/>
        <w:adjustRightInd w:val="0"/>
        <w:rPr>
          <w:rFonts w:ascii="Arial" w:eastAsia="Arial" w:hAnsi="Arial" w:cs="Arial"/>
          <w:sz w:val="22"/>
          <w:szCs w:val="22"/>
        </w:rPr>
      </w:pPr>
      <w:r w:rsidRPr="00DE0582">
        <w:rPr>
          <w:rFonts w:ascii="Arial" w:hAnsi="Arial" w:cs="Arial"/>
          <w:i/>
          <w:iCs/>
          <w:sz w:val="22"/>
          <w:szCs w:val="22"/>
        </w:rPr>
        <w:t>2. Fondo de Pasivo Social (FPS) de Ferrocarriles Nacionales de Colombia Valor</w:t>
      </w:r>
      <w:r w:rsidR="007649DB" w:rsidRPr="00DE0582">
        <w:rPr>
          <w:rFonts w:ascii="Arial" w:hAnsi="Arial" w:cs="Arial"/>
          <w:i/>
          <w:iCs/>
          <w:sz w:val="22"/>
          <w:szCs w:val="22"/>
        </w:rPr>
        <w:t xml:space="preserve"> </w:t>
      </w:r>
      <w:r w:rsidRPr="00DE0582">
        <w:rPr>
          <w:rFonts w:ascii="Arial" w:hAnsi="Arial" w:cs="Arial"/>
          <w:i/>
          <w:iCs/>
          <w:sz w:val="22"/>
          <w:szCs w:val="22"/>
        </w:rPr>
        <w:t>$2.971.512</w:t>
      </w:r>
      <w:r w:rsidR="003F322C" w:rsidRPr="00DE0582">
        <w:rPr>
          <w:rFonts w:ascii="Arial" w:hAnsi="Arial" w:cs="Arial"/>
          <w:i/>
          <w:iCs/>
          <w:sz w:val="22"/>
          <w:szCs w:val="22"/>
        </w:rPr>
        <w:t>”</w:t>
      </w:r>
      <w:r w:rsidRPr="00DE0582">
        <w:rPr>
          <w:rFonts w:ascii="Arial" w:hAnsi="Arial" w:cs="Arial"/>
          <w:sz w:val="22"/>
          <w:szCs w:val="22"/>
        </w:rPr>
        <w:t>.</w:t>
      </w:r>
      <w:r w:rsidR="13745329" w:rsidRPr="00DE0582">
        <w:rPr>
          <w:rFonts w:ascii="Arial" w:eastAsia="Arial" w:hAnsi="Arial" w:cs="Arial"/>
          <w:sz w:val="22"/>
          <w:szCs w:val="22"/>
        </w:rPr>
        <w:t xml:space="preserve"> </w:t>
      </w:r>
    </w:p>
    <w:p w14:paraId="50A82A32" w14:textId="77777777" w:rsidR="00E73575" w:rsidRPr="00DE0582" w:rsidRDefault="00E73575" w:rsidP="00DE0582">
      <w:pPr>
        <w:autoSpaceDE w:val="0"/>
        <w:autoSpaceDN w:val="0"/>
        <w:adjustRightInd w:val="0"/>
        <w:rPr>
          <w:rFonts w:ascii="Arial" w:eastAsia="Arial" w:hAnsi="Arial" w:cs="Arial"/>
          <w:sz w:val="22"/>
          <w:szCs w:val="22"/>
        </w:rPr>
      </w:pPr>
    </w:p>
    <w:p w14:paraId="0F2E696D" w14:textId="02995319" w:rsidR="00E73575" w:rsidRDefault="00E73575" w:rsidP="00DE0582">
      <w:pPr>
        <w:autoSpaceDE w:val="0"/>
        <w:autoSpaceDN w:val="0"/>
        <w:adjustRightInd w:val="0"/>
        <w:jc w:val="both"/>
        <w:rPr>
          <w:rFonts w:ascii="Arial" w:eastAsia="Arial" w:hAnsi="Arial" w:cs="Arial"/>
          <w:sz w:val="22"/>
          <w:szCs w:val="22"/>
        </w:rPr>
      </w:pPr>
      <w:r w:rsidRPr="00DE0582">
        <w:rPr>
          <w:rFonts w:ascii="Arial" w:eastAsia="Arial" w:hAnsi="Arial" w:cs="Arial"/>
          <w:sz w:val="22"/>
          <w:szCs w:val="22"/>
        </w:rPr>
        <w:t>N</w:t>
      </w:r>
      <w:r w:rsidR="13745329" w:rsidRPr="00DE0582">
        <w:rPr>
          <w:rFonts w:ascii="Arial" w:eastAsia="Arial" w:hAnsi="Arial" w:cs="Arial"/>
          <w:sz w:val="22"/>
          <w:szCs w:val="22"/>
        </w:rPr>
        <w:t xml:space="preserve">os permitimos informar los avances </w:t>
      </w:r>
      <w:r w:rsidRPr="00DE0582">
        <w:rPr>
          <w:rFonts w:ascii="Arial" w:eastAsia="Arial" w:hAnsi="Arial" w:cs="Arial"/>
          <w:sz w:val="22"/>
          <w:szCs w:val="22"/>
        </w:rPr>
        <w:t xml:space="preserve">y gestiones realizadas por la entidad en relación con el </w:t>
      </w:r>
      <w:r w:rsidR="002C3B33" w:rsidRPr="00DE0582">
        <w:rPr>
          <w:rFonts w:ascii="Arial" w:eastAsia="Arial" w:hAnsi="Arial" w:cs="Arial"/>
          <w:sz w:val="22"/>
          <w:szCs w:val="22"/>
        </w:rPr>
        <w:t>trámite de</w:t>
      </w:r>
      <w:r w:rsidRPr="00DE0582">
        <w:rPr>
          <w:rFonts w:ascii="Arial" w:eastAsia="Arial" w:hAnsi="Arial" w:cs="Arial"/>
          <w:sz w:val="22"/>
          <w:szCs w:val="22"/>
        </w:rPr>
        <w:t xml:space="preserve"> desembargo en cada caso relacionado</w:t>
      </w:r>
      <w:r w:rsidR="003F322C" w:rsidRPr="00DE0582">
        <w:rPr>
          <w:rFonts w:ascii="Arial" w:eastAsia="Arial" w:hAnsi="Arial" w:cs="Arial"/>
          <w:sz w:val="22"/>
          <w:szCs w:val="22"/>
        </w:rPr>
        <w:t xml:space="preserve"> en su oficio</w:t>
      </w:r>
      <w:r w:rsidRPr="00DE0582">
        <w:rPr>
          <w:rFonts w:ascii="Arial" w:eastAsia="Arial" w:hAnsi="Arial" w:cs="Arial"/>
          <w:sz w:val="22"/>
          <w:szCs w:val="22"/>
        </w:rPr>
        <w:t>:</w:t>
      </w:r>
    </w:p>
    <w:p w14:paraId="4728889B" w14:textId="77777777" w:rsidR="00DE0582" w:rsidRPr="00DE0582" w:rsidRDefault="00DE0582" w:rsidP="00DE0582">
      <w:pPr>
        <w:autoSpaceDE w:val="0"/>
        <w:autoSpaceDN w:val="0"/>
        <w:adjustRightInd w:val="0"/>
        <w:jc w:val="both"/>
        <w:rPr>
          <w:rFonts w:ascii="Arial" w:eastAsia="Arial" w:hAnsi="Arial" w:cs="Arial"/>
          <w:sz w:val="22"/>
          <w:szCs w:val="22"/>
        </w:rPr>
      </w:pPr>
    </w:p>
    <w:p w14:paraId="4F3ED9B0" w14:textId="030E1A97" w:rsidR="00F47EE0" w:rsidRPr="00DE0582" w:rsidRDefault="00FB6810" w:rsidP="00DE0582">
      <w:pPr>
        <w:pStyle w:val="Prrafodelista"/>
        <w:numPr>
          <w:ilvl w:val="0"/>
          <w:numId w:val="20"/>
        </w:numPr>
        <w:jc w:val="both"/>
        <w:rPr>
          <w:rFonts w:ascii="Arial" w:eastAsia="Arial" w:hAnsi="Arial" w:cs="Arial"/>
          <w:b/>
          <w:bCs/>
          <w:sz w:val="22"/>
          <w:szCs w:val="22"/>
        </w:rPr>
      </w:pPr>
      <w:r w:rsidRPr="00DE0582">
        <w:rPr>
          <w:rFonts w:ascii="Arial" w:eastAsia="Arial" w:hAnsi="Arial" w:cs="Arial"/>
          <w:b/>
          <w:bCs/>
          <w:sz w:val="22"/>
          <w:szCs w:val="22"/>
        </w:rPr>
        <w:t>Luis Eduardo Conde Molina, radicado No. 2011-007140, Valor $200.000.000.</w:t>
      </w:r>
    </w:p>
    <w:p w14:paraId="163825C8" w14:textId="77777777" w:rsidR="00DE0582" w:rsidRPr="00DE0582" w:rsidRDefault="00DE0582" w:rsidP="00DE0582">
      <w:pPr>
        <w:pStyle w:val="Prrafodelista"/>
        <w:jc w:val="both"/>
        <w:rPr>
          <w:rFonts w:ascii="Arial" w:eastAsia="Arial" w:hAnsi="Arial" w:cs="Arial"/>
          <w:b/>
          <w:bCs/>
          <w:sz w:val="22"/>
          <w:szCs w:val="22"/>
        </w:rPr>
      </w:pPr>
    </w:p>
    <w:p w14:paraId="3672A1CE" w14:textId="1A012395" w:rsidR="003C2B2C" w:rsidRDefault="00136447" w:rsidP="00DE0582">
      <w:pPr>
        <w:jc w:val="both"/>
        <w:rPr>
          <w:rFonts w:ascii="Arial" w:hAnsi="Arial" w:cs="Arial"/>
          <w:sz w:val="22"/>
          <w:szCs w:val="22"/>
        </w:rPr>
      </w:pPr>
      <w:r w:rsidRPr="00DE0582">
        <w:rPr>
          <w:rFonts w:ascii="Arial" w:hAnsi="Arial" w:cs="Arial"/>
          <w:sz w:val="22"/>
          <w:szCs w:val="22"/>
        </w:rPr>
        <w:t xml:space="preserve">En el </w:t>
      </w:r>
      <w:r w:rsidR="003C2B2C" w:rsidRPr="00DE0582">
        <w:rPr>
          <w:rFonts w:ascii="Arial" w:hAnsi="Arial" w:cs="Arial"/>
          <w:sz w:val="22"/>
          <w:szCs w:val="22"/>
        </w:rPr>
        <w:t xml:space="preserve">presente proceso ejecutivo se decretó como medida cautelar el embargo de las cuentas de la Secretaría Distrital de Hacienda, medida que fue comunicada mediante los oficios JQL 1821 del 1 de diciembre de 2011, JQL 0310 del 7 de marzo de 2013 y JQL 1311 del 3 de octubre de 2013. </w:t>
      </w:r>
    </w:p>
    <w:p w14:paraId="7B70D08E" w14:textId="77777777" w:rsidR="00DE0582" w:rsidRPr="00DE0582" w:rsidRDefault="00DE0582" w:rsidP="00DE0582">
      <w:pPr>
        <w:jc w:val="both"/>
        <w:rPr>
          <w:rFonts w:ascii="Arial" w:hAnsi="Arial" w:cs="Arial"/>
          <w:sz w:val="22"/>
          <w:szCs w:val="22"/>
        </w:rPr>
      </w:pPr>
    </w:p>
    <w:p w14:paraId="04B83E6F" w14:textId="77777777" w:rsidR="00DE0582" w:rsidRPr="00DE0582" w:rsidRDefault="00646546" w:rsidP="00DE0582">
      <w:pPr>
        <w:jc w:val="both"/>
        <w:rPr>
          <w:rFonts w:ascii="Arial" w:eastAsia="Arial" w:hAnsi="Arial" w:cs="Arial"/>
          <w:sz w:val="22"/>
          <w:szCs w:val="22"/>
        </w:rPr>
      </w:pPr>
      <w:r w:rsidRPr="00DE0582">
        <w:rPr>
          <w:rFonts w:ascii="Arial" w:hAnsi="Arial" w:cs="Arial"/>
          <w:sz w:val="22"/>
          <w:szCs w:val="22"/>
        </w:rPr>
        <w:t xml:space="preserve">Con auto del 17 de noviembre de 2017, </w:t>
      </w:r>
      <w:r w:rsidRPr="00DE0582">
        <w:rPr>
          <w:rFonts w:ascii="Arial" w:eastAsia="Arial" w:hAnsi="Arial" w:cs="Arial"/>
          <w:sz w:val="22"/>
          <w:szCs w:val="22"/>
        </w:rPr>
        <w:t>el Juzgado Quinto Laboral del Circuito de Bogotá D.C. adoptó las siguientes determinaciones</w:t>
      </w:r>
    </w:p>
    <w:p w14:paraId="4B75BDEE" w14:textId="77777777" w:rsidR="00DE0582" w:rsidRDefault="00DE0582" w:rsidP="00DE0582">
      <w:pPr>
        <w:pStyle w:val="Prrafodelista"/>
        <w:ind w:left="1080"/>
        <w:jc w:val="both"/>
        <w:rPr>
          <w:rFonts w:ascii="Arial" w:eastAsia="Arial" w:hAnsi="Arial" w:cs="Arial"/>
          <w:sz w:val="22"/>
          <w:szCs w:val="22"/>
        </w:rPr>
      </w:pPr>
    </w:p>
    <w:p w14:paraId="18075C7B" w14:textId="5EEC90DF" w:rsidR="000E3D6C" w:rsidRPr="00DE0582" w:rsidRDefault="00C76CB3" w:rsidP="00DE0582">
      <w:pPr>
        <w:pStyle w:val="Prrafodelista"/>
        <w:numPr>
          <w:ilvl w:val="0"/>
          <w:numId w:val="21"/>
        </w:numPr>
        <w:jc w:val="both"/>
        <w:rPr>
          <w:rFonts w:ascii="Arial" w:hAnsi="Arial" w:cs="Arial"/>
          <w:sz w:val="22"/>
          <w:szCs w:val="22"/>
        </w:rPr>
      </w:pPr>
      <w:r w:rsidRPr="00DE0582">
        <w:rPr>
          <w:rFonts w:ascii="Arial" w:hAnsi="Arial" w:cs="Arial"/>
          <w:sz w:val="22"/>
          <w:szCs w:val="22"/>
        </w:rPr>
        <w:t>E</w:t>
      </w:r>
      <w:r w:rsidR="00B5491E" w:rsidRPr="00DE0582">
        <w:rPr>
          <w:rFonts w:ascii="Arial" w:hAnsi="Arial" w:cs="Arial"/>
          <w:sz w:val="22"/>
          <w:szCs w:val="22"/>
        </w:rPr>
        <w:t>l Despacho accedió a la sucesión procesal de la parte demandada, quedando el FONDO DE PRESTACIONES ECONÓMICAS, CESANTÍAS Y PENSIONES – FONCEP como parte pasiva dentro del proceso.</w:t>
      </w:r>
    </w:p>
    <w:p w14:paraId="734926BF" w14:textId="77777777" w:rsidR="00DE0582" w:rsidRPr="00DE0582" w:rsidRDefault="00DE0582" w:rsidP="00DE0582">
      <w:pPr>
        <w:pStyle w:val="Prrafodelista"/>
        <w:ind w:left="1080"/>
        <w:jc w:val="both"/>
        <w:rPr>
          <w:rFonts w:ascii="Arial" w:hAnsi="Arial" w:cs="Arial"/>
          <w:sz w:val="22"/>
          <w:szCs w:val="22"/>
        </w:rPr>
      </w:pPr>
    </w:p>
    <w:p w14:paraId="319641D1" w14:textId="72F7D9F9" w:rsidR="00B5491E" w:rsidRPr="00DE0582" w:rsidRDefault="00B5491E" w:rsidP="00DE0582">
      <w:pPr>
        <w:pStyle w:val="Prrafodelista"/>
        <w:numPr>
          <w:ilvl w:val="0"/>
          <w:numId w:val="17"/>
        </w:numPr>
        <w:jc w:val="both"/>
        <w:rPr>
          <w:rFonts w:ascii="Arial" w:hAnsi="Arial" w:cs="Arial"/>
          <w:sz w:val="22"/>
          <w:szCs w:val="22"/>
        </w:rPr>
      </w:pPr>
      <w:r w:rsidRPr="00DE0582">
        <w:rPr>
          <w:rFonts w:ascii="Arial" w:hAnsi="Arial" w:cs="Arial"/>
          <w:sz w:val="22"/>
          <w:szCs w:val="22"/>
        </w:rPr>
        <w:t xml:space="preserve"> </w:t>
      </w:r>
      <w:r w:rsidR="000E3D6C" w:rsidRPr="00DE0582">
        <w:rPr>
          <w:rFonts w:ascii="Arial" w:hAnsi="Arial" w:cs="Arial"/>
          <w:sz w:val="22"/>
          <w:szCs w:val="22"/>
        </w:rPr>
        <w:t>T</w:t>
      </w:r>
      <w:r w:rsidRPr="00DE0582">
        <w:rPr>
          <w:rFonts w:ascii="Arial" w:hAnsi="Arial" w:cs="Arial"/>
          <w:sz w:val="22"/>
          <w:szCs w:val="22"/>
        </w:rPr>
        <w:t>ambién se ordenó el levantamiento de las medidas cautelares decretadas contra la Secretaría Distrital de Hacienda</w:t>
      </w:r>
      <w:r w:rsidR="00052AB9" w:rsidRPr="00DE0582">
        <w:rPr>
          <w:rFonts w:ascii="Arial" w:hAnsi="Arial" w:cs="Arial"/>
          <w:sz w:val="22"/>
          <w:szCs w:val="22"/>
        </w:rPr>
        <w:t xml:space="preserve"> mediante auto del 26 de febrero de 2013</w:t>
      </w:r>
      <w:r w:rsidRPr="00DE0582">
        <w:rPr>
          <w:rFonts w:ascii="Arial" w:hAnsi="Arial" w:cs="Arial"/>
          <w:sz w:val="22"/>
          <w:szCs w:val="22"/>
        </w:rPr>
        <w:t>.</w:t>
      </w:r>
    </w:p>
    <w:p w14:paraId="68944BCD" w14:textId="77777777" w:rsidR="001248EC" w:rsidRPr="00DE0582" w:rsidRDefault="001248EC" w:rsidP="00DE0582">
      <w:pPr>
        <w:jc w:val="both"/>
        <w:rPr>
          <w:rFonts w:ascii="Arial" w:eastAsia="Arial" w:hAnsi="Arial" w:cs="Arial"/>
          <w:sz w:val="22"/>
          <w:szCs w:val="22"/>
          <w:highlight w:val="yellow"/>
        </w:rPr>
      </w:pPr>
    </w:p>
    <w:p w14:paraId="77019FE4" w14:textId="5E982F91" w:rsidR="00614FC0" w:rsidRPr="00DE0582" w:rsidRDefault="00BB6B55" w:rsidP="00DE0582">
      <w:pPr>
        <w:jc w:val="both"/>
        <w:rPr>
          <w:rFonts w:ascii="Arial" w:hAnsi="Arial" w:cs="Arial"/>
          <w:color w:val="auto"/>
          <w:sz w:val="22"/>
          <w:szCs w:val="22"/>
        </w:rPr>
      </w:pPr>
      <w:r w:rsidRPr="00DE0582">
        <w:rPr>
          <w:rFonts w:ascii="Arial" w:eastAsia="Arial" w:hAnsi="Arial" w:cs="Arial"/>
          <w:sz w:val="22"/>
          <w:szCs w:val="22"/>
        </w:rPr>
        <w:t>E</w:t>
      </w:r>
      <w:r w:rsidR="14524355" w:rsidRPr="00DE0582">
        <w:rPr>
          <w:rFonts w:ascii="Arial" w:eastAsia="Arial" w:hAnsi="Arial" w:cs="Arial"/>
          <w:sz w:val="22"/>
          <w:szCs w:val="22"/>
        </w:rPr>
        <w:t>l 12 de noviembre de 2024, FONCEP solicit</w:t>
      </w:r>
      <w:r w:rsidRPr="00DE0582">
        <w:rPr>
          <w:rFonts w:ascii="Arial" w:eastAsia="Arial" w:hAnsi="Arial" w:cs="Arial"/>
          <w:sz w:val="22"/>
          <w:szCs w:val="22"/>
        </w:rPr>
        <w:t>ó</w:t>
      </w:r>
      <w:r w:rsidR="14524355" w:rsidRPr="00DE0582">
        <w:rPr>
          <w:rFonts w:ascii="Arial" w:eastAsia="Arial" w:hAnsi="Arial" w:cs="Arial"/>
          <w:sz w:val="22"/>
          <w:szCs w:val="22"/>
        </w:rPr>
        <w:t xml:space="preserve"> e</w:t>
      </w:r>
      <w:r w:rsidRPr="00DE0582">
        <w:rPr>
          <w:rFonts w:ascii="Arial" w:eastAsia="Arial" w:hAnsi="Arial" w:cs="Arial"/>
          <w:sz w:val="22"/>
          <w:szCs w:val="22"/>
        </w:rPr>
        <w:t>l</w:t>
      </w:r>
      <w:r w:rsidR="14524355" w:rsidRPr="00DE0582">
        <w:rPr>
          <w:rFonts w:ascii="Arial" w:eastAsia="Arial" w:hAnsi="Arial" w:cs="Arial"/>
          <w:sz w:val="22"/>
          <w:szCs w:val="22"/>
        </w:rPr>
        <w:t xml:space="preserve"> levantamiento </w:t>
      </w:r>
      <w:r w:rsidR="00614FC0" w:rsidRPr="00DE0582">
        <w:rPr>
          <w:rFonts w:ascii="Arial" w:hAnsi="Arial" w:cs="Arial"/>
          <w:sz w:val="22"/>
          <w:szCs w:val="22"/>
        </w:rPr>
        <w:t>de medida cautelar de embargo y retención en contra de BOGOTÁ D.C. SECRETARIA DE HACIENDA identificado con NIT 899.999.061-9</w:t>
      </w:r>
      <w:r w:rsidR="00CE1A0D" w:rsidRPr="00DE0582">
        <w:rPr>
          <w:rFonts w:ascii="Arial" w:hAnsi="Arial" w:cs="Arial"/>
          <w:sz w:val="22"/>
          <w:szCs w:val="22"/>
        </w:rPr>
        <w:t>, uno de ellos</w:t>
      </w:r>
      <w:r w:rsidR="00614FC0" w:rsidRPr="00DE0582">
        <w:rPr>
          <w:rFonts w:ascii="Arial" w:hAnsi="Arial" w:cs="Arial"/>
          <w:sz w:val="22"/>
          <w:szCs w:val="22"/>
        </w:rPr>
        <w:t xml:space="preserve"> por valor de $ 110.053.872,09 según lo reportado por el BANCO CORPBANCA</w:t>
      </w:r>
      <w:r w:rsidR="003A6E9F" w:rsidRPr="00DE0582">
        <w:rPr>
          <w:rFonts w:ascii="Arial" w:hAnsi="Arial" w:cs="Arial"/>
          <w:sz w:val="22"/>
          <w:szCs w:val="22"/>
        </w:rPr>
        <w:t xml:space="preserve"> y </w:t>
      </w:r>
      <w:r w:rsidR="00CE1A0D" w:rsidRPr="00DE0582">
        <w:rPr>
          <w:rFonts w:ascii="Arial" w:hAnsi="Arial" w:cs="Arial"/>
          <w:sz w:val="22"/>
          <w:szCs w:val="22"/>
        </w:rPr>
        <w:t xml:space="preserve">otro </w:t>
      </w:r>
      <w:r w:rsidR="003A6E9F" w:rsidRPr="00DE0582">
        <w:rPr>
          <w:rFonts w:ascii="Arial" w:hAnsi="Arial" w:cs="Arial"/>
          <w:sz w:val="22"/>
          <w:szCs w:val="22"/>
        </w:rPr>
        <w:t xml:space="preserve">por valor de 89.946.127,091 </w:t>
      </w:r>
      <w:r w:rsidR="007B5E94" w:rsidRPr="00DE0582">
        <w:rPr>
          <w:rFonts w:ascii="Arial" w:hAnsi="Arial" w:cs="Arial"/>
          <w:sz w:val="22"/>
          <w:szCs w:val="22"/>
        </w:rPr>
        <w:t xml:space="preserve">que registra en </w:t>
      </w:r>
      <w:r w:rsidR="00A65790" w:rsidRPr="00DE0582">
        <w:rPr>
          <w:rFonts w:ascii="Arial" w:hAnsi="Arial" w:cs="Arial"/>
          <w:sz w:val="22"/>
          <w:szCs w:val="22"/>
        </w:rPr>
        <w:t>ITAU C</w:t>
      </w:r>
      <w:r w:rsidR="00D6029A" w:rsidRPr="00DE0582">
        <w:rPr>
          <w:rFonts w:ascii="Arial" w:hAnsi="Arial" w:cs="Arial"/>
          <w:sz w:val="22"/>
          <w:szCs w:val="22"/>
        </w:rPr>
        <w:t>ORP</w:t>
      </w:r>
      <w:r w:rsidR="00C851CB" w:rsidRPr="00DE0582">
        <w:rPr>
          <w:rFonts w:ascii="Arial" w:hAnsi="Arial" w:cs="Arial"/>
          <w:sz w:val="22"/>
          <w:szCs w:val="22"/>
        </w:rPr>
        <w:t xml:space="preserve">BANCA. </w:t>
      </w:r>
      <w:r w:rsidR="00CE1A0D" w:rsidRPr="00DE0582">
        <w:rPr>
          <w:rFonts w:ascii="Arial" w:hAnsi="Arial" w:cs="Arial"/>
          <w:sz w:val="22"/>
          <w:szCs w:val="22"/>
        </w:rPr>
        <w:tab/>
      </w:r>
      <w:r w:rsidR="00CE1A0D" w:rsidRPr="00DE0582">
        <w:rPr>
          <w:rFonts w:ascii="Arial" w:hAnsi="Arial" w:cs="Arial"/>
          <w:sz w:val="22"/>
          <w:szCs w:val="22"/>
        </w:rPr>
        <w:tab/>
      </w:r>
      <w:r w:rsidR="00614FC0" w:rsidRPr="00DE0582">
        <w:rPr>
          <w:rFonts w:ascii="Arial" w:hAnsi="Arial" w:cs="Arial"/>
          <w:sz w:val="22"/>
          <w:szCs w:val="22"/>
        </w:rPr>
        <w:t xml:space="preserve"> </w:t>
      </w:r>
    </w:p>
    <w:p w14:paraId="1DED93C1" w14:textId="77777777" w:rsidR="00786BE2" w:rsidRPr="00DE0582" w:rsidRDefault="00786BE2" w:rsidP="00DE0582">
      <w:pPr>
        <w:jc w:val="both"/>
        <w:rPr>
          <w:rFonts w:ascii="Arial" w:eastAsia="Arial" w:hAnsi="Arial" w:cs="Arial"/>
          <w:sz w:val="22"/>
          <w:szCs w:val="22"/>
        </w:rPr>
      </w:pPr>
    </w:p>
    <w:p w14:paraId="5B62DE95" w14:textId="43C0285F" w:rsidR="00786BE2" w:rsidRPr="00DE0582" w:rsidRDefault="00786BE2" w:rsidP="00DE0582">
      <w:pPr>
        <w:jc w:val="both"/>
        <w:rPr>
          <w:rFonts w:ascii="Arial" w:eastAsia="Arial" w:hAnsi="Arial" w:cs="Arial"/>
          <w:sz w:val="22"/>
          <w:szCs w:val="22"/>
        </w:rPr>
      </w:pPr>
      <w:r w:rsidRPr="00DE0582">
        <w:rPr>
          <w:rFonts w:ascii="Arial" w:eastAsia="Arial" w:hAnsi="Arial" w:cs="Arial"/>
          <w:sz w:val="22"/>
          <w:szCs w:val="22"/>
        </w:rPr>
        <w:t>El 17 de julio de 2025, FONCEP reiteró al Juzgado Quinto Laboral del Circuito de Bogotá la solicitud de levantamiento de medida cautelar, y la</w:t>
      </w:r>
      <w:r w:rsidR="004E30D8" w:rsidRPr="00DE0582">
        <w:rPr>
          <w:rFonts w:ascii="Arial" w:eastAsia="Arial" w:hAnsi="Arial" w:cs="Arial"/>
          <w:sz w:val="22"/>
          <w:szCs w:val="22"/>
        </w:rPr>
        <w:t xml:space="preserve"> correspondiente</w:t>
      </w:r>
      <w:r w:rsidRPr="00DE0582">
        <w:rPr>
          <w:rFonts w:ascii="Arial" w:eastAsia="Arial" w:hAnsi="Arial" w:cs="Arial"/>
          <w:sz w:val="22"/>
          <w:szCs w:val="22"/>
        </w:rPr>
        <w:t xml:space="preserve"> expedición de los oficios</w:t>
      </w:r>
      <w:r w:rsidR="00392E97" w:rsidRPr="00DE0582">
        <w:rPr>
          <w:rFonts w:ascii="Arial" w:eastAsia="Arial" w:hAnsi="Arial" w:cs="Arial"/>
          <w:sz w:val="22"/>
          <w:szCs w:val="22"/>
        </w:rPr>
        <w:t xml:space="preserve"> para la cancelación de las medidas decretadas</w:t>
      </w:r>
      <w:r w:rsidRPr="00DE0582">
        <w:rPr>
          <w:rFonts w:ascii="Arial" w:eastAsia="Arial" w:hAnsi="Arial" w:cs="Arial"/>
          <w:sz w:val="22"/>
          <w:szCs w:val="22"/>
        </w:rPr>
        <w:t>.</w:t>
      </w:r>
    </w:p>
    <w:p w14:paraId="42BC3399" w14:textId="26701DCC" w:rsidR="001248EC" w:rsidRPr="00DE0582" w:rsidRDefault="00DA31E5" w:rsidP="00DE0582">
      <w:pPr>
        <w:jc w:val="both"/>
        <w:rPr>
          <w:rFonts w:ascii="Arial" w:eastAsia="Arial" w:hAnsi="Arial" w:cs="Arial"/>
          <w:sz w:val="22"/>
          <w:szCs w:val="22"/>
        </w:rPr>
      </w:pPr>
      <w:r w:rsidRPr="00DE0582">
        <w:rPr>
          <w:rFonts w:ascii="Arial" w:eastAsia="Arial" w:hAnsi="Arial" w:cs="Arial"/>
          <w:sz w:val="22"/>
          <w:szCs w:val="22"/>
        </w:rPr>
        <w:lastRenderedPageBreak/>
        <w:t>El 26 de agosto de 2025, el FONCEP solicitó la terminación del proceso por pago total de la obligación.</w:t>
      </w:r>
    </w:p>
    <w:p w14:paraId="0E85AE20" w14:textId="77777777" w:rsidR="00646546" w:rsidRPr="00DE0582" w:rsidRDefault="00646546" w:rsidP="00DE0582">
      <w:pPr>
        <w:jc w:val="right"/>
        <w:rPr>
          <w:rFonts w:ascii="Arial" w:eastAsia="Arial" w:hAnsi="Arial" w:cs="Arial"/>
          <w:sz w:val="22"/>
          <w:szCs w:val="22"/>
        </w:rPr>
      </w:pPr>
    </w:p>
    <w:p w14:paraId="42AFF55F" w14:textId="2C0857DF" w:rsidR="00DA31E5" w:rsidRPr="00DE0582" w:rsidRDefault="002C3B33" w:rsidP="00DE0582">
      <w:pPr>
        <w:jc w:val="both"/>
        <w:rPr>
          <w:rFonts w:ascii="Arial" w:eastAsia="Arial" w:hAnsi="Arial" w:cs="Arial"/>
          <w:sz w:val="22"/>
          <w:szCs w:val="22"/>
        </w:rPr>
      </w:pPr>
      <w:r w:rsidRPr="00DE0582">
        <w:rPr>
          <w:rFonts w:ascii="Arial" w:eastAsia="Arial" w:hAnsi="Arial" w:cs="Arial"/>
          <w:sz w:val="22"/>
          <w:szCs w:val="22"/>
        </w:rPr>
        <w:t>M</w:t>
      </w:r>
      <w:r w:rsidR="00FD4242" w:rsidRPr="00DE0582">
        <w:rPr>
          <w:rFonts w:ascii="Arial" w:eastAsia="Arial" w:hAnsi="Arial" w:cs="Arial"/>
          <w:sz w:val="22"/>
          <w:szCs w:val="22"/>
        </w:rPr>
        <w:t xml:space="preserve">ediante auto del </w:t>
      </w:r>
      <w:r w:rsidR="00DA31E5" w:rsidRPr="00DE0582">
        <w:rPr>
          <w:rFonts w:ascii="Arial" w:eastAsia="Arial" w:hAnsi="Arial" w:cs="Arial"/>
          <w:sz w:val="22"/>
          <w:szCs w:val="22"/>
        </w:rPr>
        <w:t>12</w:t>
      </w:r>
      <w:r w:rsidR="00FD4242" w:rsidRPr="00DE0582">
        <w:rPr>
          <w:rFonts w:ascii="Arial" w:eastAsia="Arial" w:hAnsi="Arial" w:cs="Arial"/>
          <w:sz w:val="22"/>
          <w:szCs w:val="22"/>
        </w:rPr>
        <w:t xml:space="preserve"> de septiembre de 2025, el Juzgado Quinto Laboral del Circuito de Bogotá decretó la terminación del proceso ejecutivo por pago total de la obligación, orden</w:t>
      </w:r>
      <w:r w:rsidR="00DA31E5" w:rsidRPr="00DE0582">
        <w:rPr>
          <w:rFonts w:ascii="Arial" w:eastAsia="Arial" w:hAnsi="Arial" w:cs="Arial"/>
          <w:sz w:val="22"/>
          <w:szCs w:val="22"/>
        </w:rPr>
        <w:t>ó</w:t>
      </w:r>
      <w:r w:rsidR="00FD4242" w:rsidRPr="00DE0582">
        <w:rPr>
          <w:rFonts w:ascii="Arial" w:eastAsia="Arial" w:hAnsi="Arial" w:cs="Arial"/>
          <w:sz w:val="22"/>
          <w:szCs w:val="22"/>
        </w:rPr>
        <w:t xml:space="preserve"> el levantamiento de medidas y </w:t>
      </w:r>
      <w:r w:rsidR="00DA31E5" w:rsidRPr="00DE0582">
        <w:rPr>
          <w:rFonts w:ascii="Arial" w:eastAsia="Arial" w:hAnsi="Arial" w:cs="Arial"/>
          <w:sz w:val="22"/>
          <w:szCs w:val="22"/>
        </w:rPr>
        <w:t xml:space="preserve">el </w:t>
      </w:r>
      <w:r w:rsidR="00FD4242" w:rsidRPr="00DE0582">
        <w:rPr>
          <w:rFonts w:ascii="Arial" w:eastAsia="Arial" w:hAnsi="Arial" w:cs="Arial"/>
          <w:sz w:val="22"/>
          <w:szCs w:val="22"/>
        </w:rPr>
        <w:t>archivo de las diligencias.</w:t>
      </w:r>
    </w:p>
    <w:p w14:paraId="7261273F" w14:textId="77777777" w:rsidR="00646546" w:rsidRPr="00DE0582" w:rsidRDefault="00646546" w:rsidP="00DE0582">
      <w:pPr>
        <w:jc w:val="both"/>
        <w:rPr>
          <w:rFonts w:ascii="Arial" w:eastAsia="Arial" w:hAnsi="Arial" w:cs="Arial"/>
          <w:sz w:val="22"/>
          <w:szCs w:val="22"/>
        </w:rPr>
      </w:pPr>
    </w:p>
    <w:p w14:paraId="79C4E178" w14:textId="77777777" w:rsidR="00DA31E5" w:rsidRPr="00DE0582" w:rsidRDefault="002C3B33" w:rsidP="00DE0582">
      <w:pPr>
        <w:pStyle w:val="Default"/>
        <w:jc w:val="both"/>
        <w:rPr>
          <w:rFonts w:ascii="Arial" w:hAnsi="Arial" w:cs="Arial"/>
          <w:sz w:val="22"/>
          <w:szCs w:val="22"/>
        </w:rPr>
      </w:pPr>
      <w:r w:rsidRPr="00DE0582">
        <w:rPr>
          <w:rFonts w:ascii="Arial" w:eastAsia="Arial" w:hAnsi="Arial" w:cs="Arial"/>
          <w:sz w:val="22"/>
          <w:szCs w:val="22"/>
        </w:rPr>
        <w:t>E</w:t>
      </w:r>
      <w:r w:rsidR="00FD4242" w:rsidRPr="00DE0582">
        <w:rPr>
          <w:rFonts w:ascii="Arial" w:eastAsia="Arial" w:hAnsi="Arial" w:cs="Arial"/>
          <w:sz w:val="22"/>
          <w:szCs w:val="22"/>
        </w:rPr>
        <w:t xml:space="preserve">l 11 de diciembre de 2025, la secretaría del despacho </w:t>
      </w:r>
      <w:r w:rsidRPr="00DE0582">
        <w:rPr>
          <w:rFonts w:ascii="Arial" w:eastAsia="Arial" w:hAnsi="Arial" w:cs="Arial"/>
          <w:sz w:val="22"/>
          <w:szCs w:val="22"/>
        </w:rPr>
        <w:t>libró</w:t>
      </w:r>
      <w:r w:rsidR="00FD4242" w:rsidRPr="00DE0582">
        <w:rPr>
          <w:rFonts w:ascii="Arial" w:eastAsia="Arial" w:hAnsi="Arial" w:cs="Arial"/>
          <w:sz w:val="22"/>
          <w:szCs w:val="22"/>
        </w:rPr>
        <w:t xml:space="preserve"> los oficios </w:t>
      </w:r>
      <w:r w:rsidR="00646546" w:rsidRPr="00DE0582">
        <w:rPr>
          <w:rFonts w:ascii="Arial" w:eastAsia="Arial" w:hAnsi="Arial" w:cs="Arial"/>
          <w:sz w:val="22"/>
          <w:szCs w:val="22"/>
        </w:rPr>
        <w:t>dirigidos</w:t>
      </w:r>
      <w:r w:rsidR="00FD4242" w:rsidRPr="00DE0582">
        <w:rPr>
          <w:rFonts w:ascii="Arial" w:eastAsia="Arial" w:hAnsi="Arial" w:cs="Arial"/>
          <w:sz w:val="22"/>
          <w:szCs w:val="22"/>
        </w:rPr>
        <w:t xml:space="preserve"> al banco </w:t>
      </w:r>
      <w:r w:rsidR="00BE456E" w:rsidRPr="00DE0582">
        <w:rPr>
          <w:rFonts w:ascii="Arial" w:eastAsia="Arial" w:hAnsi="Arial" w:cs="Arial"/>
          <w:sz w:val="22"/>
          <w:szCs w:val="22"/>
        </w:rPr>
        <w:t>Itaú</w:t>
      </w:r>
      <w:r w:rsidRPr="00DE0582">
        <w:rPr>
          <w:rFonts w:ascii="Arial" w:eastAsia="Arial" w:hAnsi="Arial" w:cs="Arial"/>
          <w:sz w:val="22"/>
          <w:szCs w:val="22"/>
        </w:rPr>
        <w:t>,</w:t>
      </w:r>
      <w:r w:rsidR="00FD4242" w:rsidRPr="00DE0582">
        <w:rPr>
          <w:rFonts w:ascii="Arial" w:eastAsia="Arial" w:hAnsi="Arial" w:cs="Arial"/>
          <w:sz w:val="22"/>
          <w:szCs w:val="22"/>
        </w:rPr>
        <w:t xml:space="preserve"> indicando que </w:t>
      </w:r>
      <w:r w:rsidR="00FD4242" w:rsidRPr="00DE0582">
        <w:rPr>
          <w:rFonts w:ascii="Arial" w:hAnsi="Arial" w:cs="Arial"/>
          <w:sz w:val="22"/>
          <w:szCs w:val="22"/>
        </w:rPr>
        <w:t xml:space="preserve">mediante providencias del 17 de noviembre de 2017, 7 de noviembre de 2019 y 12 de septiembre de 2025, se </w:t>
      </w:r>
      <w:r w:rsidRPr="00DE0582">
        <w:rPr>
          <w:rFonts w:ascii="Arial" w:hAnsi="Arial" w:cs="Arial"/>
          <w:sz w:val="22"/>
          <w:szCs w:val="22"/>
        </w:rPr>
        <w:t>orden</w:t>
      </w:r>
      <w:r w:rsidR="00DA31E5" w:rsidRPr="00DE0582">
        <w:rPr>
          <w:rFonts w:ascii="Arial" w:hAnsi="Arial" w:cs="Arial"/>
          <w:sz w:val="22"/>
          <w:szCs w:val="22"/>
        </w:rPr>
        <w:t>ó</w:t>
      </w:r>
      <w:r w:rsidR="00FD4242" w:rsidRPr="00DE0582">
        <w:rPr>
          <w:rFonts w:ascii="Arial" w:hAnsi="Arial" w:cs="Arial"/>
          <w:sz w:val="22"/>
          <w:szCs w:val="22"/>
        </w:rPr>
        <w:t xml:space="preserve"> el levantamiento de </w:t>
      </w:r>
      <w:r w:rsidR="00DA31E5" w:rsidRPr="00DE0582">
        <w:rPr>
          <w:rFonts w:ascii="Arial" w:hAnsi="Arial" w:cs="Arial"/>
          <w:sz w:val="22"/>
          <w:szCs w:val="22"/>
        </w:rPr>
        <w:t xml:space="preserve">las </w:t>
      </w:r>
      <w:r w:rsidR="00FD4242" w:rsidRPr="00DE0582">
        <w:rPr>
          <w:rFonts w:ascii="Arial" w:hAnsi="Arial" w:cs="Arial"/>
          <w:sz w:val="22"/>
          <w:szCs w:val="22"/>
        </w:rPr>
        <w:t xml:space="preserve">medidas decretadas sobre las sumas de dinero </w:t>
      </w:r>
      <w:r w:rsidRPr="00DE0582">
        <w:rPr>
          <w:rFonts w:ascii="Arial" w:hAnsi="Arial" w:cs="Arial"/>
          <w:sz w:val="22"/>
          <w:szCs w:val="22"/>
        </w:rPr>
        <w:t>de</w:t>
      </w:r>
      <w:r w:rsidR="00FD4242" w:rsidRPr="00DE0582">
        <w:rPr>
          <w:rFonts w:ascii="Arial" w:hAnsi="Arial" w:cs="Arial"/>
          <w:sz w:val="22"/>
          <w:szCs w:val="22"/>
        </w:rPr>
        <w:t xml:space="preserve"> FONCEP</w:t>
      </w:r>
      <w:r w:rsidR="00DA31E5" w:rsidRPr="00DE0582">
        <w:rPr>
          <w:rFonts w:ascii="Arial" w:hAnsi="Arial" w:cs="Arial"/>
          <w:sz w:val="22"/>
          <w:szCs w:val="22"/>
        </w:rPr>
        <w:t xml:space="preserve"> tuviera en las cuentas de ahorros y/o corrientes de dicha entidad bancaria. </w:t>
      </w:r>
    </w:p>
    <w:p w14:paraId="63C7B733" w14:textId="77777777" w:rsidR="00DA31E5" w:rsidRPr="00DE0582" w:rsidRDefault="00DA31E5" w:rsidP="00DE0582">
      <w:pPr>
        <w:pStyle w:val="Default"/>
        <w:jc w:val="both"/>
        <w:rPr>
          <w:rFonts w:ascii="Arial" w:hAnsi="Arial" w:cs="Arial"/>
          <w:sz w:val="22"/>
          <w:szCs w:val="22"/>
        </w:rPr>
      </w:pPr>
    </w:p>
    <w:p w14:paraId="42A154DD" w14:textId="337723E5" w:rsidR="002C3B33" w:rsidRDefault="002C3B33" w:rsidP="00DE0582">
      <w:pPr>
        <w:pStyle w:val="Default"/>
        <w:jc w:val="both"/>
        <w:rPr>
          <w:rFonts w:ascii="Arial" w:hAnsi="Arial" w:cs="Arial"/>
          <w:sz w:val="22"/>
          <w:szCs w:val="22"/>
        </w:rPr>
      </w:pPr>
      <w:r w:rsidRPr="00DE0582">
        <w:rPr>
          <w:rFonts w:ascii="Arial" w:hAnsi="Arial" w:cs="Arial"/>
          <w:sz w:val="22"/>
          <w:szCs w:val="22"/>
        </w:rPr>
        <w:t>E</w:t>
      </w:r>
      <w:r w:rsidR="00BE456E" w:rsidRPr="00DE0582">
        <w:rPr>
          <w:rFonts w:ascii="Arial" w:hAnsi="Arial" w:cs="Arial"/>
          <w:sz w:val="22"/>
          <w:szCs w:val="22"/>
        </w:rPr>
        <w:t xml:space="preserve">l 4 de mayo de 2026, FONCEP radicó memorial solicitando la corrección de los oficios de desembargo, </w:t>
      </w:r>
      <w:r w:rsidRPr="00DE0582">
        <w:rPr>
          <w:rFonts w:ascii="Arial" w:hAnsi="Arial" w:cs="Arial"/>
          <w:sz w:val="22"/>
          <w:szCs w:val="22"/>
        </w:rPr>
        <w:t>teniendo en cuenta que las medidas cautelares decretadas recaen exclusivamente sobre cuentas de la Secretaría Distrital de Hacienda, conforme a los oficios JQL 1821 de 2011, JQL 0310 de 2013 y JQL 1311 de 2013, y no sobre cuentas del FONCEP</w:t>
      </w:r>
      <w:r w:rsidR="0030457E" w:rsidRPr="00DE0582">
        <w:rPr>
          <w:rFonts w:ascii="Arial" w:hAnsi="Arial" w:cs="Arial"/>
          <w:sz w:val="22"/>
          <w:szCs w:val="22"/>
        </w:rPr>
        <w:t>.</w:t>
      </w:r>
    </w:p>
    <w:p w14:paraId="42651B34" w14:textId="77777777" w:rsidR="00DE0582" w:rsidRPr="00DE0582" w:rsidRDefault="00DE0582" w:rsidP="00DE0582">
      <w:pPr>
        <w:pStyle w:val="Default"/>
        <w:jc w:val="both"/>
        <w:rPr>
          <w:rFonts w:ascii="Arial" w:hAnsi="Arial" w:cs="Arial"/>
          <w:sz w:val="22"/>
          <w:szCs w:val="22"/>
        </w:rPr>
      </w:pPr>
    </w:p>
    <w:p w14:paraId="057D7AA7" w14:textId="0ABB6A26" w:rsidR="005E0475" w:rsidRDefault="41C8B228" w:rsidP="00DE0582">
      <w:pPr>
        <w:jc w:val="both"/>
        <w:rPr>
          <w:rFonts w:ascii="Arial" w:eastAsia="Arial" w:hAnsi="Arial" w:cs="Arial"/>
          <w:sz w:val="22"/>
          <w:szCs w:val="22"/>
        </w:rPr>
      </w:pPr>
      <w:r w:rsidRPr="00DE0582">
        <w:rPr>
          <w:rFonts w:ascii="Arial" w:eastAsia="Arial" w:hAnsi="Arial" w:cs="Arial"/>
          <w:sz w:val="22"/>
          <w:szCs w:val="22"/>
        </w:rPr>
        <w:t xml:space="preserve">Es así como, el FONCEP </w:t>
      </w:r>
      <w:r w:rsidR="00781DF3" w:rsidRPr="00DE0582">
        <w:rPr>
          <w:rFonts w:ascii="Arial" w:eastAsia="Arial" w:hAnsi="Arial" w:cs="Arial"/>
          <w:sz w:val="22"/>
          <w:szCs w:val="22"/>
        </w:rPr>
        <w:t xml:space="preserve">se encuentra </w:t>
      </w:r>
      <w:r w:rsidRPr="00DE0582">
        <w:rPr>
          <w:rFonts w:ascii="Arial" w:eastAsia="Arial" w:hAnsi="Arial" w:cs="Arial"/>
          <w:sz w:val="22"/>
          <w:szCs w:val="22"/>
        </w:rPr>
        <w:t>a la espera del pronunciamiento definitivo por parte del despacho judicial.</w:t>
      </w:r>
    </w:p>
    <w:p w14:paraId="6AF03A05" w14:textId="77777777" w:rsidR="00DE0582" w:rsidRPr="00DE0582" w:rsidRDefault="00DE0582" w:rsidP="00DE0582">
      <w:pPr>
        <w:jc w:val="both"/>
        <w:rPr>
          <w:rFonts w:ascii="Arial" w:eastAsia="Arial" w:hAnsi="Arial" w:cs="Arial"/>
          <w:sz w:val="22"/>
          <w:szCs w:val="22"/>
        </w:rPr>
      </w:pPr>
    </w:p>
    <w:p w14:paraId="61D86B4E" w14:textId="63CF0A49" w:rsidR="00987F2E" w:rsidRPr="00DE0582" w:rsidRDefault="00987F2E" w:rsidP="00DE0582">
      <w:pPr>
        <w:pStyle w:val="Prrafodelista"/>
        <w:numPr>
          <w:ilvl w:val="0"/>
          <w:numId w:val="19"/>
        </w:numPr>
        <w:jc w:val="both"/>
        <w:rPr>
          <w:rFonts w:ascii="Arial" w:hAnsi="Arial" w:cs="Arial"/>
          <w:b/>
          <w:bCs/>
          <w:color w:val="auto"/>
          <w:sz w:val="22"/>
          <w:szCs w:val="22"/>
        </w:rPr>
      </w:pPr>
      <w:r w:rsidRPr="00DE0582">
        <w:rPr>
          <w:rFonts w:ascii="Arial" w:hAnsi="Arial" w:cs="Arial"/>
          <w:b/>
          <w:bCs/>
          <w:sz w:val="22"/>
          <w:szCs w:val="22"/>
        </w:rPr>
        <w:t xml:space="preserve">Fondo de Pasivo Social (FPS) de Ferrocarriles Nacionales de Colombia </w:t>
      </w:r>
      <w:r w:rsidR="007326F8" w:rsidRPr="00DE0582">
        <w:rPr>
          <w:rFonts w:ascii="Arial" w:hAnsi="Arial" w:cs="Arial"/>
          <w:b/>
          <w:bCs/>
          <w:sz w:val="22"/>
          <w:szCs w:val="22"/>
        </w:rPr>
        <w:t xml:space="preserve">(FNC) </w:t>
      </w:r>
      <w:r w:rsidRPr="00DE0582">
        <w:rPr>
          <w:rFonts w:ascii="Arial" w:hAnsi="Arial" w:cs="Arial"/>
          <w:b/>
          <w:bCs/>
          <w:sz w:val="22"/>
          <w:szCs w:val="22"/>
        </w:rPr>
        <w:t>Valor</w:t>
      </w:r>
      <w:r w:rsidRPr="00DE0582">
        <w:rPr>
          <w:rFonts w:ascii="Arial" w:hAnsi="Arial" w:cs="Arial"/>
          <w:b/>
          <w:bCs/>
          <w:sz w:val="22"/>
          <w:szCs w:val="22"/>
        </w:rPr>
        <w:t xml:space="preserve"> </w:t>
      </w:r>
      <w:r w:rsidRPr="00DE0582">
        <w:rPr>
          <w:rFonts w:ascii="Arial" w:hAnsi="Arial" w:cs="Arial"/>
          <w:b/>
          <w:bCs/>
          <w:sz w:val="22"/>
          <w:szCs w:val="22"/>
        </w:rPr>
        <w:t>$2.971.512.</w:t>
      </w:r>
    </w:p>
    <w:p w14:paraId="320CBDC4" w14:textId="77777777" w:rsidR="005E0475" w:rsidRPr="00DE0582" w:rsidRDefault="005E0475" w:rsidP="00DE0582">
      <w:pPr>
        <w:pStyle w:val="Prrafodelista"/>
        <w:rPr>
          <w:rFonts w:ascii="Arial" w:hAnsi="Arial" w:cs="Arial"/>
          <w:b/>
          <w:bCs/>
          <w:color w:val="auto"/>
          <w:sz w:val="22"/>
          <w:szCs w:val="22"/>
        </w:rPr>
      </w:pPr>
    </w:p>
    <w:p w14:paraId="06E37A67" w14:textId="76061F48" w:rsidR="005E0475" w:rsidRDefault="005E0475" w:rsidP="00DE0582">
      <w:pPr>
        <w:jc w:val="both"/>
        <w:rPr>
          <w:rFonts w:ascii="Arial" w:eastAsia="Arial" w:hAnsi="Arial" w:cs="Arial"/>
          <w:sz w:val="22"/>
          <w:szCs w:val="22"/>
        </w:rPr>
      </w:pPr>
      <w:r w:rsidRPr="00DE0582">
        <w:rPr>
          <w:rFonts w:ascii="Arial" w:eastAsia="Arial" w:hAnsi="Arial" w:cs="Arial"/>
          <w:sz w:val="22"/>
          <w:szCs w:val="22"/>
        </w:rPr>
        <w:t xml:space="preserve">El 16 de septiembre de 2024, el FONCEP recibió notificación electrónica del auto JC 0695 del 31 de mayo de 2022, proferido en el proceso de cobro coactivo 2022-0095 adelantado por el </w:t>
      </w:r>
      <w:r w:rsidR="00F67534" w:rsidRPr="00DE0582">
        <w:rPr>
          <w:rFonts w:ascii="Arial" w:eastAsia="Arial" w:hAnsi="Arial" w:cs="Arial"/>
          <w:sz w:val="22"/>
          <w:szCs w:val="22"/>
        </w:rPr>
        <w:t xml:space="preserve">Fondo de Pasivo Social </w:t>
      </w:r>
      <w:r w:rsidRPr="00DE0582">
        <w:rPr>
          <w:rFonts w:ascii="Arial" w:eastAsia="Arial" w:hAnsi="Arial" w:cs="Arial"/>
          <w:sz w:val="22"/>
          <w:szCs w:val="22"/>
        </w:rPr>
        <w:t>de Ferrocarriles Nacionales de Colombia</w:t>
      </w:r>
      <w:r w:rsidR="00E8627C" w:rsidRPr="00DE0582">
        <w:rPr>
          <w:rFonts w:ascii="Arial" w:eastAsia="Arial" w:hAnsi="Arial" w:cs="Arial"/>
          <w:sz w:val="22"/>
          <w:szCs w:val="22"/>
        </w:rPr>
        <w:t xml:space="preserve"> </w:t>
      </w:r>
      <w:r w:rsidR="00F67534" w:rsidRPr="00DE0582">
        <w:rPr>
          <w:rFonts w:ascii="Arial" w:eastAsia="Arial" w:hAnsi="Arial" w:cs="Arial"/>
          <w:sz w:val="22"/>
          <w:szCs w:val="22"/>
        </w:rPr>
        <w:t xml:space="preserve">(en adelante FPS </w:t>
      </w:r>
      <w:r w:rsidR="00E8627C" w:rsidRPr="00DE0582">
        <w:rPr>
          <w:rFonts w:ascii="Arial" w:eastAsia="Arial" w:hAnsi="Arial" w:cs="Arial"/>
          <w:sz w:val="22"/>
          <w:szCs w:val="22"/>
        </w:rPr>
        <w:t>FNC</w:t>
      </w:r>
      <w:r w:rsidR="00F67534" w:rsidRPr="00DE0582">
        <w:rPr>
          <w:rFonts w:ascii="Arial" w:eastAsia="Arial" w:hAnsi="Arial" w:cs="Arial"/>
          <w:sz w:val="22"/>
          <w:szCs w:val="22"/>
        </w:rPr>
        <w:t>)</w:t>
      </w:r>
      <w:r w:rsidRPr="00DE0582">
        <w:rPr>
          <w:rFonts w:ascii="Arial" w:eastAsia="Arial" w:hAnsi="Arial" w:cs="Arial"/>
          <w:sz w:val="22"/>
          <w:szCs w:val="22"/>
        </w:rPr>
        <w:t>, en el cual se decretó el embargo de una cuenta de la Secretaría de Hacienda.</w:t>
      </w:r>
    </w:p>
    <w:p w14:paraId="0F9D2B58" w14:textId="77777777" w:rsidR="00DE0582" w:rsidRPr="00DE0582" w:rsidRDefault="00DE0582" w:rsidP="00DE0582">
      <w:pPr>
        <w:jc w:val="both"/>
        <w:rPr>
          <w:rFonts w:ascii="Arial" w:eastAsia="Arial" w:hAnsi="Arial" w:cs="Arial"/>
          <w:sz w:val="22"/>
          <w:szCs w:val="22"/>
        </w:rPr>
      </w:pPr>
    </w:p>
    <w:p w14:paraId="004F0F5E" w14:textId="77777777" w:rsidR="004C5900" w:rsidRDefault="005E0475" w:rsidP="00DE0582">
      <w:pPr>
        <w:jc w:val="both"/>
        <w:rPr>
          <w:rFonts w:ascii="Arial" w:eastAsia="Arial" w:hAnsi="Arial" w:cs="Arial"/>
          <w:sz w:val="22"/>
          <w:szCs w:val="22"/>
        </w:rPr>
      </w:pPr>
      <w:r w:rsidRPr="00DE0582">
        <w:rPr>
          <w:rFonts w:ascii="Arial" w:eastAsia="Arial" w:hAnsi="Arial" w:cs="Arial"/>
          <w:sz w:val="22"/>
          <w:szCs w:val="22"/>
        </w:rPr>
        <w:t xml:space="preserve">En atención a dicha comunicación, mediante radicado 202402200313142 del 17 de octubre de 2024, esta entidad presentó objeción formal, en razón a que no fue allegado el acto administrativo que dio origen al cobro, ni tampoco constancia de una notificación válida al FONCEP, lo que imposibilitó el ejercicio oportuno del derecho de defensa. </w:t>
      </w:r>
    </w:p>
    <w:p w14:paraId="2CF26EDA" w14:textId="77777777" w:rsidR="00DE0582" w:rsidRPr="00DE0582" w:rsidRDefault="00DE0582" w:rsidP="00DE0582">
      <w:pPr>
        <w:jc w:val="both"/>
        <w:rPr>
          <w:rFonts w:ascii="Arial" w:eastAsia="Arial" w:hAnsi="Arial" w:cs="Arial"/>
          <w:sz w:val="22"/>
          <w:szCs w:val="22"/>
        </w:rPr>
      </w:pPr>
    </w:p>
    <w:p w14:paraId="5FDB7A96" w14:textId="0A5917E3" w:rsidR="005E0475" w:rsidRDefault="005E0475" w:rsidP="00DE0582">
      <w:pPr>
        <w:jc w:val="both"/>
        <w:rPr>
          <w:rFonts w:ascii="Arial" w:eastAsia="Arial" w:hAnsi="Arial" w:cs="Arial"/>
          <w:sz w:val="22"/>
          <w:szCs w:val="22"/>
        </w:rPr>
      </w:pPr>
      <w:r w:rsidRPr="00DE0582">
        <w:rPr>
          <w:rFonts w:ascii="Arial" w:eastAsia="Arial" w:hAnsi="Arial" w:cs="Arial"/>
          <w:sz w:val="22"/>
          <w:szCs w:val="22"/>
        </w:rPr>
        <w:t xml:space="preserve">Por lo anterior, se solicitó al </w:t>
      </w:r>
      <w:r w:rsidR="00F67534" w:rsidRPr="00DE0582">
        <w:rPr>
          <w:rFonts w:ascii="Arial" w:eastAsia="Arial" w:hAnsi="Arial" w:cs="Arial"/>
          <w:sz w:val="22"/>
          <w:szCs w:val="22"/>
        </w:rPr>
        <w:t>FPS FNC</w:t>
      </w:r>
      <w:r w:rsidR="00F67534" w:rsidRPr="00DE0582">
        <w:rPr>
          <w:rFonts w:ascii="Arial" w:eastAsia="Arial" w:hAnsi="Arial" w:cs="Arial"/>
          <w:sz w:val="22"/>
          <w:szCs w:val="22"/>
        </w:rPr>
        <w:t xml:space="preserve"> </w:t>
      </w:r>
      <w:r w:rsidRPr="00DE0582">
        <w:rPr>
          <w:rFonts w:ascii="Arial" w:eastAsia="Arial" w:hAnsi="Arial" w:cs="Arial"/>
          <w:sz w:val="22"/>
          <w:szCs w:val="22"/>
        </w:rPr>
        <w:t>remitir copia del mandamiento de pago, así como prueba idónea de su notificación, incluyendo guía de correo, certimail o constancia de recibido.</w:t>
      </w:r>
    </w:p>
    <w:p w14:paraId="12FB046B" w14:textId="77777777" w:rsidR="00DE0582" w:rsidRPr="00DE0582" w:rsidRDefault="00DE0582" w:rsidP="00DE0582">
      <w:pPr>
        <w:jc w:val="both"/>
        <w:rPr>
          <w:rFonts w:ascii="Arial" w:hAnsi="Arial" w:cs="Arial"/>
          <w:sz w:val="22"/>
          <w:szCs w:val="22"/>
        </w:rPr>
      </w:pPr>
    </w:p>
    <w:p w14:paraId="01FABD0A" w14:textId="520F9079" w:rsidR="005E0475" w:rsidRDefault="005E0475" w:rsidP="00DE0582">
      <w:pPr>
        <w:jc w:val="both"/>
        <w:rPr>
          <w:rFonts w:ascii="Arial" w:eastAsia="Arial" w:hAnsi="Arial" w:cs="Arial"/>
          <w:sz w:val="22"/>
          <w:szCs w:val="22"/>
        </w:rPr>
      </w:pPr>
      <w:r w:rsidRPr="00DE0582">
        <w:rPr>
          <w:rFonts w:ascii="Arial" w:eastAsia="Arial" w:hAnsi="Arial" w:cs="Arial"/>
          <w:sz w:val="22"/>
          <w:szCs w:val="22"/>
        </w:rPr>
        <w:t xml:space="preserve">A través del radicado GITCC-202401320164041 del 24 de octubre de 2024, el </w:t>
      </w:r>
      <w:r w:rsidR="00F67534" w:rsidRPr="00DE0582">
        <w:rPr>
          <w:rFonts w:ascii="Arial" w:eastAsia="Arial" w:hAnsi="Arial" w:cs="Arial"/>
          <w:sz w:val="22"/>
          <w:szCs w:val="22"/>
        </w:rPr>
        <w:t>FPS FNC</w:t>
      </w:r>
      <w:r w:rsidRPr="00DE0582">
        <w:rPr>
          <w:rFonts w:ascii="Arial" w:eastAsia="Arial" w:hAnsi="Arial" w:cs="Arial"/>
          <w:sz w:val="22"/>
          <w:szCs w:val="22"/>
        </w:rPr>
        <w:t xml:space="preserve"> respondió que la notificación de la medida cautelar se efectuó directamente al banco BBVA el 13 de septiembre de 2024 y que, a su juicio, no existía obligación legal de notificar al FONCEP. En ese sentido, consideró cumplida la notificación al FONCEP con la recepción del oficio de embargo el 16 de septiembre de 2024. Sin embargo, dicha respuesta no incluyó copia completa del expediente ni prueba de la notificación directa al FONCEP. </w:t>
      </w:r>
    </w:p>
    <w:p w14:paraId="71762A38" w14:textId="77777777" w:rsidR="00DE0582" w:rsidRPr="00DE0582" w:rsidRDefault="00DE0582" w:rsidP="00DE0582">
      <w:pPr>
        <w:jc w:val="both"/>
        <w:rPr>
          <w:rFonts w:ascii="Arial" w:eastAsia="Arial" w:hAnsi="Arial" w:cs="Arial"/>
          <w:sz w:val="22"/>
          <w:szCs w:val="22"/>
        </w:rPr>
      </w:pPr>
    </w:p>
    <w:p w14:paraId="0B32D55E" w14:textId="77777777" w:rsidR="005E0475" w:rsidRDefault="005E0475" w:rsidP="00DE0582">
      <w:pPr>
        <w:jc w:val="both"/>
        <w:rPr>
          <w:rFonts w:ascii="Arial" w:eastAsia="Arial" w:hAnsi="Arial" w:cs="Arial"/>
          <w:sz w:val="22"/>
          <w:szCs w:val="22"/>
        </w:rPr>
      </w:pPr>
      <w:r w:rsidRPr="00DE0582">
        <w:rPr>
          <w:rFonts w:ascii="Arial" w:eastAsia="Arial" w:hAnsi="Arial" w:cs="Arial"/>
          <w:sz w:val="22"/>
          <w:szCs w:val="22"/>
        </w:rPr>
        <w:t>Ante la insuficiencia de la documentación aportada, mediante radicado 202402200407662 del 8 de noviembre de 2024, el FONCEP reiteró la solicitud de remisión del mandamiento de pago contenido en el auto JC 0695, el cual fue proferido en el proceso de cobro coactivo 2022-0095, y de la evidencia de la notificación.</w:t>
      </w:r>
    </w:p>
    <w:p w14:paraId="474E9D31" w14:textId="77777777" w:rsidR="00DE0582" w:rsidRPr="00DE0582" w:rsidRDefault="00DE0582" w:rsidP="00DE0582">
      <w:pPr>
        <w:jc w:val="both"/>
        <w:rPr>
          <w:rFonts w:ascii="Arial" w:eastAsia="Arial" w:hAnsi="Arial" w:cs="Arial"/>
          <w:sz w:val="22"/>
          <w:szCs w:val="22"/>
        </w:rPr>
      </w:pPr>
    </w:p>
    <w:p w14:paraId="38303B7C" w14:textId="3A265935" w:rsidR="005E0475" w:rsidRDefault="005E0475" w:rsidP="00DE0582">
      <w:pPr>
        <w:jc w:val="both"/>
        <w:rPr>
          <w:rFonts w:ascii="Arial" w:eastAsia="Arial" w:hAnsi="Arial" w:cs="Arial"/>
          <w:sz w:val="22"/>
          <w:szCs w:val="22"/>
        </w:rPr>
      </w:pPr>
      <w:r w:rsidRPr="00DE0582">
        <w:rPr>
          <w:rFonts w:ascii="Arial" w:eastAsia="Arial" w:hAnsi="Arial" w:cs="Arial"/>
          <w:sz w:val="22"/>
          <w:szCs w:val="22"/>
        </w:rPr>
        <w:t xml:space="preserve">Mediante radicado CITCC-202401320207411 del 26 de diciembre de 2024, el </w:t>
      </w:r>
      <w:r w:rsidR="00F67534" w:rsidRPr="00DE0582">
        <w:rPr>
          <w:rFonts w:ascii="Arial" w:eastAsia="Arial" w:hAnsi="Arial" w:cs="Arial"/>
          <w:sz w:val="22"/>
          <w:szCs w:val="22"/>
        </w:rPr>
        <w:t>FPS FNC</w:t>
      </w:r>
      <w:r w:rsidRPr="00DE0582">
        <w:rPr>
          <w:rFonts w:ascii="Arial" w:eastAsia="Arial" w:hAnsi="Arial" w:cs="Arial"/>
          <w:sz w:val="22"/>
          <w:szCs w:val="22"/>
        </w:rPr>
        <w:t xml:space="preserve"> informó que, conforme a lo establecido en la Resolución 1498 de 2020, el suministro de copias físicas genera </w:t>
      </w:r>
      <w:r w:rsidRPr="00DE0582">
        <w:rPr>
          <w:rFonts w:ascii="Arial" w:eastAsia="Arial" w:hAnsi="Arial" w:cs="Arial"/>
          <w:sz w:val="22"/>
          <w:szCs w:val="22"/>
        </w:rPr>
        <w:lastRenderedPageBreak/>
        <w:t>un costo cuando se requieren más de 20 folios; no obstante, procedió con el envío gratuito de las versiones digitales del Auto JC-0695 y del oficio de notificación del 13 de septiembre de 2024.</w:t>
      </w:r>
    </w:p>
    <w:p w14:paraId="507691DA" w14:textId="77777777" w:rsidR="00DE0582" w:rsidRPr="00DE0582" w:rsidRDefault="00DE0582" w:rsidP="00DE0582">
      <w:pPr>
        <w:jc w:val="both"/>
        <w:rPr>
          <w:rFonts w:ascii="Arial" w:hAnsi="Arial" w:cs="Arial"/>
          <w:sz w:val="22"/>
          <w:szCs w:val="22"/>
        </w:rPr>
      </w:pPr>
    </w:p>
    <w:p w14:paraId="2D66E7B2" w14:textId="6C392BA1" w:rsidR="005E0475" w:rsidRDefault="005E0475" w:rsidP="00DE0582">
      <w:pPr>
        <w:jc w:val="both"/>
        <w:rPr>
          <w:rFonts w:ascii="Arial" w:eastAsia="Arial" w:hAnsi="Arial" w:cs="Arial"/>
          <w:sz w:val="22"/>
          <w:szCs w:val="22"/>
        </w:rPr>
      </w:pPr>
      <w:r w:rsidRPr="00DE0582">
        <w:rPr>
          <w:rFonts w:ascii="Arial" w:eastAsia="Arial" w:hAnsi="Arial" w:cs="Arial"/>
          <w:sz w:val="22"/>
          <w:szCs w:val="22"/>
        </w:rPr>
        <w:t xml:space="preserve">Del análisis de los documentos remitidos, se advierte que el proceso tiene por objeto el cobro de cuotas partes pensionales presuntamente adeudadas por el FONCEP al </w:t>
      </w:r>
      <w:r w:rsidR="00F67534" w:rsidRPr="00DE0582">
        <w:rPr>
          <w:rFonts w:ascii="Arial" w:eastAsia="Arial" w:hAnsi="Arial" w:cs="Arial"/>
          <w:sz w:val="22"/>
          <w:szCs w:val="22"/>
        </w:rPr>
        <w:t>FPS FNC</w:t>
      </w:r>
      <w:r w:rsidRPr="00DE0582">
        <w:rPr>
          <w:rFonts w:ascii="Arial" w:eastAsia="Arial" w:hAnsi="Arial" w:cs="Arial"/>
          <w:sz w:val="22"/>
          <w:szCs w:val="22"/>
        </w:rPr>
        <w:t>, correspondientes a los períodos comprendidos entre marzo de 2019 y agosto de 2021.</w:t>
      </w:r>
    </w:p>
    <w:p w14:paraId="1C38022C" w14:textId="77777777" w:rsidR="00DE0582" w:rsidRPr="00DE0582" w:rsidRDefault="00DE0582" w:rsidP="00DE0582">
      <w:pPr>
        <w:jc w:val="both"/>
        <w:rPr>
          <w:rFonts w:ascii="Arial" w:hAnsi="Arial" w:cs="Arial"/>
          <w:sz w:val="22"/>
          <w:szCs w:val="22"/>
        </w:rPr>
      </w:pPr>
    </w:p>
    <w:p w14:paraId="5FD3522E" w14:textId="77777777" w:rsidR="005E0475" w:rsidRPr="00DE0582" w:rsidRDefault="005E0475" w:rsidP="00DE0582">
      <w:pPr>
        <w:jc w:val="both"/>
        <w:rPr>
          <w:rFonts w:ascii="Arial" w:hAnsi="Arial" w:cs="Arial"/>
          <w:sz w:val="22"/>
          <w:szCs w:val="22"/>
        </w:rPr>
      </w:pPr>
      <w:r w:rsidRPr="00DE0582">
        <w:rPr>
          <w:rFonts w:ascii="Arial" w:eastAsia="Arial" w:hAnsi="Arial" w:cs="Arial"/>
          <w:sz w:val="22"/>
          <w:szCs w:val="22"/>
        </w:rPr>
        <w:t>Posteriormente, el 13 de marzo de 2025, el FONCEP presentó solicitud formal de declaratoria de prescripción respecto de las obligaciones contenidas en el mandamiento de pago que dio origen a la medida cautelar, al evidenciar que los períodos reclamados superan el término legal de prescripción y que no obra prueba suficiente de interrupción válida del mismo, ni de notificación debidamente surtida. En dicha solicitud, se requirió además el levantamiento inmediato de las medidas cautelares. Sin embargo, FONCEP no obtuvo número de ingreso ni constancia de recibido.</w:t>
      </w:r>
    </w:p>
    <w:p w14:paraId="4904A998" w14:textId="77777777" w:rsidR="005E0475" w:rsidRDefault="005E0475" w:rsidP="00DE0582">
      <w:pPr>
        <w:jc w:val="both"/>
        <w:rPr>
          <w:rFonts w:ascii="Arial" w:eastAsia="Arial" w:hAnsi="Arial" w:cs="Arial"/>
          <w:sz w:val="22"/>
          <w:szCs w:val="22"/>
        </w:rPr>
      </w:pPr>
      <w:r w:rsidRPr="00DE0582">
        <w:rPr>
          <w:rFonts w:ascii="Arial" w:eastAsia="Arial" w:hAnsi="Arial" w:cs="Arial"/>
          <w:sz w:val="22"/>
          <w:szCs w:val="22"/>
        </w:rPr>
        <w:t xml:space="preserve">En consecuencia, el 17 de julio de 2025, el FONCEP radicó nuevamente la solicitud reiterando expresamente la necesidad de que se asignara número de radicación, siendo finalmente registrado bajo el No. 202502200183282. </w:t>
      </w:r>
    </w:p>
    <w:p w14:paraId="25544896" w14:textId="77777777" w:rsidR="00DE0582" w:rsidRPr="00DE0582" w:rsidRDefault="00DE0582" w:rsidP="00DE0582">
      <w:pPr>
        <w:jc w:val="both"/>
        <w:rPr>
          <w:rFonts w:ascii="Arial" w:eastAsia="Arial" w:hAnsi="Arial" w:cs="Arial"/>
          <w:sz w:val="22"/>
          <w:szCs w:val="22"/>
        </w:rPr>
      </w:pPr>
    </w:p>
    <w:p w14:paraId="52EB01DC" w14:textId="684BB679" w:rsidR="005E0475" w:rsidRDefault="005E0475" w:rsidP="00DE0582">
      <w:pPr>
        <w:jc w:val="both"/>
        <w:rPr>
          <w:rFonts w:ascii="Arial" w:eastAsia="Arial" w:hAnsi="Arial" w:cs="Arial"/>
          <w:i/>
          <w:iCs/>
          <w:sz w:val="22"/>
          <w:szCs w:val="22"/>
        </w:rPr>
      </w:pPr>
      <w:r w:rsidRPr="00DE0582">
        <w:rPr>
          <w:rFonts w:ascii="Arial" w:eastAsia="Arial" w:hAnsi="Arial" w:cs="Arial"/>
          <w:sz w:val="22"/>
          <w:szCs w:val="22"/>
        </w:rPr>
        <w:t xml:space="preserve">El 11 de agosto de 2025, mediante radicado 202501320106451, el </w:t>
      </w:r>
      <w:r w:rsidR="00F67534" w:rsidRPr="00DE0582">
        <w:rPr>
          <w:rFonts w:ascii="Arial" w:eastAsia="Arial" w:hAnsi="Arial" w:cs="Arial"/>
          <w:sz w:val="22"/>
          <w:szCs w:val="22"/>
        </w:rPr>
        <w:t>FPS FNC</w:t>
      </w:r>
      <w:r w:rsidRPr="00DE0582">
        <w:rPr>
          <w:rFonts w:ascii="Arial" w:eastAsia="Arial" w:hAnsi="Arial" w:cs="Arial"/>
          <w:sz w:val="22"/>
          <w:szCs w:val="22"/>
        </w:rPr>
        <w:t xml:space="preserve"> indica que: </w:t>
      </w:r>
      <w:r w:rsidRPr="00DE0582">
        <w:rPr>
          <w:rFonts w:ascii="Arial" w:eastAsia="Arial" w:hAnsi="Arial" w:cs="Arial"/>
          <w:i/>
          <w:iCs/>
          <w:sz w:val="22"/>
          <w:szCs w:val="22"/>
        </w:rPr>
        <w:t>“Si la prescripción se predica de derechos de libre disposición y los aportes al Sistema de Seguridad Social en Pensiones en tanto constituyen recursos de orden parafiscal no son de libre disposición, bajo esa lógica se desprende que los aportes destinados al Sistema General de Pensiones no tienen término prescriptivo alguno”.</w:t>
      </w:r>
    </w:p>
    <w:p w14:paraId="70D09331" w14:textId="77777777" w:rsidR="00DE0582" w:rsidRPr="00DE0582" w:rsidRDefault="00DE0582" w:rsidP="00DE0582">
      <w:pPr>
        <w:jc w:val="both"/>
        <w:rPr>
          <w:rFonts w:ascii="Arial" w:eastAsia="Arial" w:hAnsi="Arial" w:cs="Arial"/>
          <w:sz w:val="22"/>
          <w:szCs w:val="22"/>
        </w:rPr>
      </w:pPr>
    </w:p>
    <w:p w14:paraId="1CB3465E" w14:textId="240DDB4C" w:rsidR="005E0475" w:rsidRDefault="005E0475" w:rsidP="00DE0582">
      <w:pPr>
        <w:jc w:val="both"/>
        <w:rPr>
          <w:rFonts w:ascii="Arial" w:eastAsia="Arial" w:hAnsi="Arial" w:cs="Arial"/>
          <w:sz w:val="22"/>
          <w:szCs w:val="22"/>
        </w:rPr>
      </w:pPr>
      <w:r w:rsidRPr="00DE0582">
        <w:rPr>
          <w:rFonts w:ascii="Arial" w:eastAsia="Arial" w:hAnsi="Arial" w:cs="Arial"/>
          <w:sz w:val="22"/>
          <w:szCs w:val="22"/>
        </w:rPr>
        <w:t xml:space="preserve">Ante la evidente confusión entre la prescripción de la acción de cobro y la prescripción de los recursos del Sistema General de la Seguridad Social, durante el </w:t>
      </w:r>
      <w:r w:rsidR="008E0AB6" w:rsidRPr="00DE0582">
        <w:rPr>
          <w:rFonts w:ascii="Arial" w:eastAsia="Arial" w:hAnsi="Arial" w:cs="Arial"/>
          <w:sz w:val="22"/>
          <w:szCs w:val="22"/>
        </w:rPr>
        <w:t>“</w:t>
      </w:r>
      <w:r w:rsidRPr="00DE0582">
        <w:rPr>
          <w:rFonts w:ascii="Arial" w:eastAsia="Arial" w:hAnsi="Arial" w:cs="Arial"/>
          <w:sz w:val="22"/>
          <w:szCs w:val="22"/>
        </w:rPr>
        <w:t>I Encuentro de Cuotapartistas</w:t>
      </w:r>
      <w:r w:rsidR="008E0AB6" w:rsidRPr="00DE0582">
        <w:rPr>
          <w:rFonts w:ascii="Arial" w:eastAsia="Arial" w:hAnsi="Arial" w:cs="Arial"/>
          <w:sz w:val="22"/>
          <w:szCs w:val="22"/>
        </w:rPr>
        <w:t>”</w:t>
      </w:r>
      <w:r w:rsidRPr="00DE0582">
        <w:rPr>
          <w:rFonts w:ascii="Arial" w:eastAsia="Arial" w:hAnsi="Arial" w:cs="Arial"/>
          <w:sz w:val="22"/>
          <w:szCs w:val="22"/>
        </w:rPr>
        <w:t xml:space="preserve"> celebrado el 28 de octubre de 2025</w:t>
      </w:r>
      <w:r w:rsidR="00AA03A3" w:rsidRPr="00DE0582">
        <w:rPr>
          <w:rFonts w:ascii="Arial" w:eastAsia="Arial" w:hAnsi="Arial" w:cs="Arial"/>
          <w:sz w:val="22"/>
          <w:szCs w:val="22"/>
        </w:rPr>
        <w:t>,</w:t>
      </w:r>
      <w:r w:rsidRPr="00DE0582">
        <w:rPr>
          <w:rFonts w:ascii="Arial" w:eastAsia="Arial" w:hAnsi="Arial" w:cs="Arial"/>
          <w:sz w:val="22"/>
          <w:szCs w:val="22"/>
        </w:rPr>
        <w:t xml:space="preserve"> se escaló el tema con </w:t>
      </w:r>
      <w:r w:rsidR="00137B66" w:rsidRPr="00DE0582">
        <w:rPr>
          <w:rFonts w:ascii="Arial" w:eastAsia="Arial" w:hAnsi="Arial" w:cs="Arial"/>
          <w:sz w:val="22"/>
          <w:szCs w:val="22"/>
        </w:rPr>
        <w:t xml:space="preserve">el </w:t>
      </w:r>
      <w:r w:rsidR="00F67534" w:rsidRPr="00DE0582">
        <w:rPr>
          <w:rFonts w:ascii="Arial" w:eastAsia="Arial" w:hAnsi="Arial" w:cs="Arial"/>
          <w:sz w:val="22"/>
          <w:szCs w:val="22"/>
        </w:rPr>
        <w:t>FPS FNC</w:t>
      </w:r>
      <w:r w:rsidRPr="00DE0582">
        <w:rPr>
          <w:rFonts w:ascii="Arial" w:eastAsia="Arial" w:hAnsi="Arial" w:cs="Arial"/>
          <w:sz w:val="22"/>
          <w:szCs w:val="22"/>
        </w:rPr>
        <w:t xml:space="preserve">, donde se estableció el compromiso de establecer una mesa de trabajo para discutir el tema, la cual no se efectuó por agenda del </w:t>
      </w:r>
      <w:r w:rsidR="00F67534" w:rsidRPr="00DE0582">
        <w:rPr>
          <w:rFonts w:ascii="Arial" w:eastAsia="Arial" w:hAnsi="Arial" w:cs="Arial"/>
          <w:sz w:val="22"/>
          <w:szCs w:val="22"/>
        </w:rPr>
        <w:t>FPS FNC</w:t>
      </w:r>
      <w:r w:rsidRPr="00DE0582">
        <w:rPr>
          <w:rFonts w:ascii="Arial" w:eastAsia="Arial" w:hAnsi="Arial" w:cs="Arial"/>
          <w:sz w:val="22"/>
          <w:szCs w:val="22"/>
        </w:rPr>
        <w:t>.</w:t>
      </w:r>
    </w:p>
    <w:p w14:paraId="3404D886" w14:textId="77777777" w:rsidR="00DE0582" w:rsidRPr="00DE0582" w:rsidRDefault="00DE0582" w:rsidP="00DE0582">
      <w:pPr>
        <w:jc w:val="both"/>
        <w:rPr>
          <w:rFonts w:ascii="Arial" w:eastAsia="Arial" w:hAnsi="Arial" w:cs="Arial"/>
          <w:sz w:val="22"/>
          <w:szCs w:val="22"/>
        </w:rPr>
      </w:pPr>
    </w:p>
    <w:p w14:paraId="249F37C7" w14:textId="38F36758" w:rsidR="005E0475" w:rsidRDefault="00137B66" w:rsidP="00DE0582">
      <w:pPr>
        <w:jc w:val="both"/>
        <w:rPr>
          <w:rFonts w:ascii="Arial" w:eastAsia="Arial" w:hAnsi="Arial" w:cs="Arial"/>
          <w:sz w:val="22"/>
          <w:szCs w:val="22"/>
        </w:rPr>
      </w:pPr>
      <w:r w:rsidRPr="00DE0582">
        <w:rPr>
          <w:rFonts w:ascii="Arial" w:eastAsia="Arial" w:hAnsi="Arial" w:cs="Arial"/>
          <w:sz w:val="22"/>
          <w:szCs w:val="22"/>
        </w:rPr>
        <w:t>E</w:t>
      </w:r>
      <w:r w:rsidR="005E0475" w:rsidRPr="00DE0582">
        <w:rPr>
          <w:rFonts w:ascii="Arial" w:eastAsia="Arial" w:hAnsi="Arial" w:cs="Arial"/>
          <w:sz w:val="22"/>
          <w:szCs w:val="22"/>
        </w:rPr>
        <w:t>l pasado 22 de abril de 2026</w:t>
      </w:r>
      <w:r w:rsidR="003336AD" w:rsidRPr="00DE0582">
        <w:rPr>
          <w:rFonts w:ascii="Arial" w:eastAsia="Arial" w:hAnsi="Arial" w:cs="Arial"/>
          <w:sz w:val="22"/>
          <w:szCs w:val="22"/>
        </w:rPr>
        <w:t>, FONCEP presentó</w:t>
      </w:r>
      <w:r w:rsidR="005E0475" w:rsidRPr="00DE0582">
        <w:rPr>
          <w:rFonts w:ascii="Arial" w:eastAsia="Arial" w:hAnsi="Arial" w:cs="Arial"/>
          <w:sz w:val="22"/>
          <w:szCs w:val="22"/>
        </w:rPr>
        <w:t xml:space="preserve"> reiteración de la solicitud de prescripción de las cuotas partes pensionales alegadas en el proceso Exp 22-0095</w:t>
      </w:r>
      <w:r w:rsidR="003336AD" w:rsidRPr="00DE0582">
        <w:rPr>
          <w:rFonts w:ascii="Arial" w:eastAsia="Arial" w:hAnsi="Arial" w:cs="Arial"/>
          <w:sz w:val="22"/>
          <w:szCs w:val="22"/>
        </w:rPr>
        <w:t>.</w:t>
      </w:r>
      <w:r w:rsidR="005E0475" w:rsidRPr="00DE0582">
        <w:rPr>
          <w:rFonts w:ascii="Arial" w:eastAsia="Arial" w:hAnsi="Arial" w:cs="Arial"/>
          <w:sz w:val="22"/>
          <w:szCs w:val="22"/>
        </w:rPr>
        <w:t xml:space="preserve"> </w:t>
      </w:r>
      <w:r w:rsidR="003336AD" w:rsidRPr="00DE0582">
        <w:rPr>
          <w:rFonts w:ascii="Arial" w:eastAsia="Arial" w:hAnsi="Arial" w:cs="Arial"/>
          <w:sz w:val="22"/>
          <w:szCs w:val="22"/>
        </w:rPr>
        <w:t>S</w:t>
      </w:r>
      <w:r w:rsidR="005E0475" w:rsidRPr="00DE0582">
        <w:rPr>
          <w:rFonts w:ascii="Arial" w:eastAsia="Arial" w:hAnsi="Arial" w:cs="Arial"/>
          <w:sz w:val="22"/>
          <w:szCs w:val="22"/>
        </w:rPr>
        <w:t xml:space="preserve">obre el particular, se desvirtuó el argumento de la imprescriptibilidad </w:t>
      </w:r>
      <w:r w:rsidR="0092333E" w:rsidRPr="00DE0582">
        <w:rPr>
          <w:rFonts w:ascii="Arial" w:eastAsia="Arial" w:hAnsi="Arial" w:cs="Arial"/>
          <w:sz w:val="22"/>
          <w:szCs w:val="22"/>
        </w:rPr>
        <w:t xml:space="preserve">invocado </w:t>
      </w:r>
      <w:r w:rsidR="005E0475" w:rsidRPr="00DE0582">
        <w:rPr>
          <w:rFonts w:ascii="Arial" w:eastAsia="Arial" w:hAnsi="Arial" w:cs="Arial"/>
          <w:sz w:val="22"/>
          <w:szCs w:val="22"/>
        </w:rPr>
        <w:t xml:space="preserve">por el </w:t>
      </w:r>
      <w:r w:rsidR="00F67534" w:rsidRPr="00DE0582">
        <w:rPr>
          <w:rFonts w:ascii="Arial" w:eastAsia="Arial" w:hAnsi="Arial" w:cs="Arial"/>
          <w:sz w:val="22"/>
          <w:szCs w:val="22"/>
        </w:rPr>
        <w:t>FPS FNC</w:t>
      </w:r>
      <w:r w:rsidR="005E0475" w:rsidRPr="00DE0582">
        <w:rPr>
          <w:rFonts w:ascii="Arial" w:eastAsia="Arial" w:hAnsi="Arial" w:cs="Arial"/>
          <w:sz w:val="22"/>
          <w:szCs w:val="22"/>
        </w:rPr>
        <w:t xml:space="preserve"> mediante respuesta otorgada mediante Rad. 202501320106451, discriminando periodo a periodo y realizando el análisis del fenómeno prescriptivo con base en la presunta fecha de notificación.</w:t>
      </w:r>
    </w:p>
    <w:p w14:paraId="12E1C91A" w14:textId="77777777" w:rsidR="00DE0582" w:rsidRPr="00DE0582" w:rsidRDefault="00DE0582" w:rsidP="00DE0582">
      <w:pPr>
        <w:jc w:val="both"/>
        <w:rPr>
          <w:rFonts w:ascii="Arial" w:eastAsia="Arial" w:hAnsi="Arial" w:cs="Arial"/>
          <w:sz w:val="22"/>
          <w:szCs w:val="22"/>
        </w:rPr>
      </w:pPr>
    </w:p>
    <w:p w14:paraId="0B2B868B" w14:textId="68B6DA57" w:rsidR="005E0475" w:rsidRPr="00DE0582" w:rsidRDefault="005E0475" w:rsidP="00DE0582">
      <w:pPr>
        <w:jc w:val="both"/>
        <w:rPr>
          <w:rFonts w:ascii="Arial" w:eastAsia="Arial" w:hAnsi="Arial" w:cs="Arial"/>
          <w:sz w:val="22"/>
          <w:szCs w:val="22"/>
        </w:rPr>
      </w:pPr>
      <w:r w:rsidRPr="00DE0582">
        <w:rPr>
          <w:rFonts w:ascii="Arial" w:eastAsia="Arial" w:hAnsi="Arial" w:cs="Arial"/>
          <w:sz w:val="22"/>
          <w:szCs w:val="22"/>
        </w:rPr>
        <w:t>A la fecha</w:t>
      </w:r>
      <w:r w:rsidR="002409D6" w:rsidRPr="00DE0582">
        <w:rPr>
          <w:rFonts w:ascii="Arial" w:eastAsia="Arial" w:hAnsi="Arial" w:cs="Arial"/>
          <w:sz w:val="22"/>
          <w:szCs w:val="22"/>
        </w:rPr>
        <w:t>,</w:t>
      </w:r>
      <w:r w:rsidRPr="00DE0582">
        <w:rPr>
          <w:rFonts w:ascii="Arial" w:eastAsia="Arial" w:hAnsi="Arial" w:cs="Arial"/>
          <w:sz w:val="22"/>
          <w:szCs w:val="22"/>
        </w:rPr>
        <w:t xml:space="preserve"> el FPS FNC no ha remitido número de radicado para realizar su debida trazabilidad, sin embargo, se encuentra en los términos legales para responder el derecho de petición</w:t>
      </w:r>
      <w:r w:rsidR="002409D6" w:rsidRPr="00DE0582">
        <w:rPr>
          <w:rFonts w:ascii="Arial" w:eastAsia="Arial" w:hAnsi="Arial" w:cs="Arial"/>
          <w:sz w:val="22"/>
          <w:szCs w:val="22"/>
        </w:rPr>
        <w:t>. U</w:t>
      </w:r>
      <w:r w:rsidRPr="00DE0582">
        <w:rPr>
          <w:rFonts w:ascii="Arial" w:eastAsia="Arial" w:hAnsi="Arial" w:cs="Arial"/>
          <w:sz w:val="22"/>
          <w:szCs w:val="22"/>
        </w:rPr>
        <w:t xml:space="preserve">na vez se cuente con respuesta, </w:t>
      </w:r>
      <w:r w:rsidR="002409D6" w:rsidRPr="00DE0582">
        <w:rPr>
          <w:rFonts w:ascii="Arial" w:eastAsia="Arial" w:hAnsi="Arial" w:cs="Arial"/>
          <w:sz w:val="22"/>
          <w:szCs w:val="22"/>
        </w:rPr>
        <w:t xml:space="preserve">en caso </w:t>
      </w:r>
      <w:r w:rsidRPr="00DE0582">
        <w:rPr>
          <w:rFonts w:ascii="Arial" w:eastAsia="Arial" w:hAnsi="Arial" w:cs="Arial"/>
          <w:sz w:val="22"/>
          <w:szCs w:val="22"/>
        </w:rPr>
        <w:t xml:space="preserve">de ser negativa, se </w:t>
      </w:r>
      <w:r w:rsidR="002409D6" w:rsidRPr="00DE0582">
        <w:rPr>
          <w:rFonts w:ascii="Arial" w:eastAsia="Arial" w:hAnsi="Arial" w:cs="Arial"/>
          <w:sz w:val="22"/>
          <w:szCs w:val="22"/>
        </w:rPr>
        <w:t xml:space="preserve">iniciará </w:t>
      </w:r>
      <w:r w:rsidRPr="00DE0582">
        <w:rPr>
          <w:rFonts w:ascii="Arial" w:eastAsia="Arial" w:hAnsi="Arial" w:cs="Arial"/>
          <w:sz w:val="22"/>
          <w:szCs w:val="22"/>
        </w:rPr>
        <w:t xml:space="preserve">la acción jurídica </w:t>
      </w:r>
      <w:r w:rsidR="002409D6" w:rsidRPr="00DE0582">
        <w:rPr>
          <w:rFonts w:ascii="Arial" w:eastAsia="Arial" w:hAnsi="Arial" w:cs="Arial"/>
          <w:sz w:val="22"/>
          <w:szCs w:val="22"/>
        </w:rPr>
        <w:t>correspondiente</w:t>
      </w:r>
      <w:r w:rsidRPr="00DE0582">
        <w:rPr>
          <w:rFonts w:ascii="Arial" w:eastAsia="Arial" w:hAnsi="Arial" w:cs="Arial"/>
          <w:sz w:val="22"/>
          <w:szCs w:val="22"/>
        </w:rPr>
        <w:t xml:space="preserve">, bien sea </w:t>
      </w:r>
      <w:r w:rsidR="002409D6" w:rsidRPr="00DE0582">
        <w:rPr>
          <w:rFonts w:ascii="Arial" w:eastAsia="Arial" w:hAnsi="Arial" w:cs="Arial"/>
          <w:sz w:val="22"/>
          <w:szCs w:val="22"/>
        </w:rPr>
        <w:t xml:space="preserve">una </w:t>
      </w:r>
      <w:r w:rsidRPr="00DE0582">
        <w:rPr>
          <w:rFonts w:ascii="Arial" w:eastAsia="Arial" w:hAnsi="Arial" w:cs="Arial"/>
          <w:sz w:val="22"/>
          <w:szCs w:val="22"/>
        </w:rPr>
        <w:t xml:space="preserve">acción de tutela o </w:t>
      </w:r>
      <w:r w:rsidR="002409D6" w:rsidRPr="00DE0582">
        <w:rPr>
          <w:rFonts w:ascii="Arial" w:eastAsia="Arial" w:hAnsi="Arial" w:cs="Arial"/>
          <w:sz w:val="22"/>
          <w:szCs w:val="22"/>
        </w:rPr>
        <w:t xml:space="preserve">el </w:t>
      </w:r>
      <w:r w:rsidRPr="00DE0582">
        <w:rPr>
          <w:rFonts w:ascii="Arial" w:eastAsia="Arial" w:hAnsi="Arial" w:cs="Arial"/>
          <w:sz w:val="22"/>
          <w:szCs w:val="22"/>
        </w:rPr>
        <w:t xml:space="preserve">medio de control de nulidad y restablecimiento del derecho, que permita </w:t>
      </w:r>
      <w:r w:rsidR="002409D6" w:rsidRPr="00DE0582">
        <w:rPr>
          <w:rFonts w:ascii="Arial" w:eastAsia="Arial" w:hAnsi="Arial" w:cs="Arial"/>
          <w:sz w:val="22"/>
          <w:szCs w:val="22"/>
        </w:rPr>
        <w:t xml:space="preserve">hacer efectivo </w:t>
      </w:r>
      <w:r w:rsidRPr="00DE0582">
        <w:rPr>
          <w:rFonts w:ascii="Arial" w:eastAsia="Arial" w:hAnsi="Arial" w:cs="Arial"/>
          <w:sz w:val="22"/>
          <w:szCs w:val="22"/>
        </w:rPr>
        <w:t>el levantamiento del embargo y el saneamiento debido de la obligación.</w:t>
      </w:r>
    </w:p>
    <w:p w14:paraId="1FD52D48" w14:textId="77777777" w:rsidR="005E0475" w:rsidRPr="00DE0582" w:rsidRDefault="005E0475" w:rsidP="00DE0582">
      <w:pPr>
        <w:jc w:val="both"/>
        <w:rPr>
          <w:rFonts w:ascii="Arial" w:eastAsia="Arial" w:hAnsi="Arial" w:cs="Arial"/>
          <w:sz w:val="22"/>
          <w:szCs w:val="22"/>
        </w:rPr>
      </w:pPr>
    </w:p>
    <w:p w14:paraId="5036F221" w14:textId="77777777" w:rsidR="005E0475" w:rsidRPr="00DE0582" w:rsidRDefault="005E0475" w:rsidP="00DE0582">
      <w:pPr>
        <w:jc w:val="both"/>
        <w:rPr>
          <w:rFonts w:ascii="Arial" w:eastAsia="Arial" w:hAnsi="Arial" w:cs="Arial"/>
          <w:sz w:val="22"/>
          <w:szCs w:val="22"/>
        </w:rPr>
      </w:pPr>
    </w:p>
    <w:p w14:paraId="0E884A2F" w14:textId="0AF3759F" w:rsidR="53CA37BA" w:rsidRPr="00DE0582" w:rsidRDefault="53CA37BA" w:rsidP="00DE0582">
      <w:pPr>
        <w:jc w:val="both"/>
        <w:rPr>
          <w:rFonts w:ascii="Arial" w:hAnsi="Arial" w:cs="Arial"/>
          <w:color w:val="000000" w:themeColor="background2"/>
          <w:sz w:val="22"/>
          <w:szCs w:val="22"/>
        </w:rPr>
      </w:pPr>
    </w:p>
    <w:sectPr w:rsidR="53CA37BA" w:rsidRPr="00DE0582">
      <w:headerReference w:type="default" r:id="rId14"/>
      <w:footerReference w:type="default" r:id="rId15"/>
      <w:pgSz w:w="12240" w:h="15840"/>
      <w:pgMar w:top="1530" w:right="900" w:bottom="1275" w:left="1695" w:header="705" w:footer="585"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0A4020" w14:textId="77777777" w:rsidR="00D163C4" w:rsidRDefault="00D163C4">
      <w:r>
        <w:separator/>
      </w:r>
    </w:p>
  </w:endnote>
  <w:endnote w:type="continuationSeparator" w:id="0">
    <w:p w14:paraId="5EC6D90C" w14:textId="77777777" w:rsidR="00D163C4" w:rsidRDefault="00D163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MT">
    <w:altName w:val="Arial"/>
    <w:panose1 w:val="00000000000000000000"/>
    <w:charset w:val="00"/>
    <w:family w:val="swiss"/>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enturyGothic-Bold">
    <w:altName w:val="Times New Roman"/>
    <w:charset w:val="00"/>
    <w:family w:val="auto"/>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760F6D" w14:textId="6C58EC7F" w:rsidR="001801F2" w:rsidRPr="009874DE" w:rsidRDefault="001801F2" w:rsidP="009874DE">
    <w:pPr>
      <w:pStyle w:val="Piedepgina"/>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518BC5" w14:textId="77777777" w:rsidR="00D163C4" w:rsidRDefault="00D163C4">
      <w:r>
        <w:separator/>
      </w:r>
    </w:p>
  </w:footnote>
  <w:footnote w:type="continuationSeparator" w:id="0">
    <w:p w14:paraId="1B65EE4E" w14:textId="77777777" w:rsidR="00D163C4" w:rsidRDefault="00D163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114D25" w14:textId="315196F2" w:rsidR="001801F2" w:rsidRDefault="001801F2" w:rsidP="009874DE">
    <w:pPr>
      <w:pStyle w:val="Standard"/>
      <w:tabs>
        <w:tab w:val="left" w:pos="1485"/>
      </w:tabs>
      <w:ind w:right="-42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62585E14"/>
    <w:styleLink w:val="LFO45"/>
    <w:lvl w:ilvl="0">
      <w:start w:val="1"/>
      <w:numFmt w:val="decimal"/>
      <w:pStyle w:val="Titulo1"/>
      <w:lvlText w:val="%1."/>
      <w:lvlJc w:val="left"/>
      <w:pPr>
        <w:ind w:left="360" w:hanging="360"/>
      </w:pPr>
    </w:lvl>
    <w:lvl w:ilvl="1">
      <w:start w:val="1"/>
      <w:numFmt w:val="decimal"/>
      <w:lvlText w:val="%1.%2."/>
      <w:lvlJc w:val="left"/>
      <w:pPr>
        <w:ind w:left="720" w:hanging="36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1" w15:restartNumberingAfterBreak="0">
    <w:nsid w:val="089310CA"/>
    <w:multiLevelType w:val="multilevel"/>
    <w:tmpl w:val="9D66ECC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0DD274FC"/>
    <w:multiLevelType w:val="hybridMultilevel"/>
    <w:tmpl w:val="57C4918A"/>
    <w:lvl w:ilvl="0" w:tplc="E416AD44">
      <w:start w:val="1"/>
      <w:numFmt w:val="bullet"/>
      <w:lvlText w:val=""/>
      <w:lvlJc w:val="left"/>
      <w:pPr>
        <w:ind w:left="720" w:hanging="360"/>
      </w:pPr>
      <w:rPr>
        <w:rFonts w:ascii="Symbol" w:hAnsi="Symbol" w:hint="default"/>
      </w:rPr>
    </w:lvl>
    <w:lvl w:ilvl="1" w:tplc="77289CA8">
      <w:start w:val="1"/>
      <w:numFmt w:val="bullet"/>
      <w:lvlText w:val="o"/>
      <w:lvlJc w:val="left"/>
      <w:pPr>
        <w:ind w:left="1440" w:hanging="360"/>
      </w:pPr>
      <w:rPr>
        <w:rFonts w:ascii="Courier New" w:hAnsi="Courier New" w:hint="default"/>
      </w:rPr>
    </w:lvl>
    <w:lvl w:ilvl="2" w:tplc="55F4E006">
      <w:start w:val="1"/>
      <w:numFmt w:val="bullet"/>
      <w:lvlText w:val=""/>
      <w:lvlJc w:val="left"/>
      <w:pPr>
        <w:ind w:left="2160" w:hanging="360"/>
      </w:pPr>
      <w:rPr>
        <w:rFonts w:ascii="Wingdings" w:hAnsi="Wingdings" w:hint="default"/>
      </w:rPr>
    </w:lvl>
    <w:lvl w:ilvl="3" w:tplc="C518C1FA">
      <w:start w:val="1"/>
      <w:numFmt w:val="bullet"/>
      <w:lvlText w:val=""/>
      <w:lvlJc w:val="left"/>
      <w:pPr>
        <w:ind w:left="2880" w:hanging="360"/>
      </w:pPr>
      <w:rPr>
        <w:rFonts w:ascii="Symbol" w:hAnsi="Symbol" w:hint="default"/>
      </w:rPr>
    </w:lvl>
    <w:lvl w:ilvl="4" w:tplc="46DE0734">
      <w:start w:val="1"/>
      <w:numFmt w:val="bullet"/>
      <w:lvlText w:val="o"/>
      <w:lvlJc w:val="left"/>
      <w:pPr>
        <w:ind w:left="3600" w:hanging="360"/>
      </w:pPr>
      <w:rPr>
        <w:rFonts w:ascii="Courier New" w:hAnsi="Courier New" w:hint="default"/>
      </w:rPr>
    </w:lvl>
    <w:lvl w:ilvl="5" w:tplc="C26E88C4">
      <w:start w:val="1"/>
      <w:numFmt w:val="bullet"/>
      <w:lvlText w:val=""/>
      <w:lvlJc w:val="left"/>
      <w:pPr>
        <w:ind w:left="4320" w:hanging="360"/>
      </w:pPr>
      <w:rPr>
        <w:rFonts w:ascii="Wingdings" w:hAnsi="Wingdings" w:hint="default"/>
      </w:rPr>
    </w:lvl>
    <w:lvl w:ilvl="6" w:tplc="56D6A778">
      <w:start w:val="1"/>
      <w:numFmt w:val="bullet"/>
      <w:lvlText w:val=""/>
      <w:lvlJc w:val="left"/>
      <w:pPr>
        <w:ind w:left="5040" w:hanging="360"/>
      </w:pPr>
      <w:rPr>
        <w:rFonts w:ascii="Symbol" w:hAnsi="Symbol" w:hint="default"/>
      </w:rPr>
    </w:lvl>
    <w:lvl w:ilvl="7" w:tplc="2F2CF9E8">
      <w:start w:val="1"/>
      <w:numFmt w:val="bullet"/>
      <w:lvlText w:val="o"/>
      <w:lvlJc w:val="left"/>
      <w:pPr>
        <w:ind w:left="5760" w:hanging="360"/>
      </w:pPr>
      <w:rPr>
        <w:rFonts w:ascii="Courier New" w:hAnsi="Courier New" w:hint="default"/>
      </w:rPr>
    </w:lvl>
    <w:lvl w:ilvl="8" w:tplc="E9E2224E">
      <w:start w:val="1"/>
      <w:numFmt w:val="bullet"/>
      <w:lvlText w:val=""/>
      <w:lvlJc w:val="left"/>
      <w:pPr>
        <w:ind w:left="6480" w:hanging="360"/>
      </w:pPr>
      <w:rPr>
        <w:rFonts w:ascii="Wingdings" w:hAnsi="Wingdings" w:hint="default"/>
      </w:rPr>
    </w:lvl>
  </w:abstractNum>
  <w:abstractNum w:abstractNumId="3" w15:restartNumberingAfterBreak="0">
    <w:nsid w:val="0F7A5D87"/>
    <w:multiLevelType w:val="hybridMultilevel"/>
    <w:tmpl w:val="B8CCDFC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1BB5274A"/>
    <w:multiLevelType w:val="hybridMultilevel"/>
    <w:tmpl w:val="C7AE1442"/>
    <w:lvl w:ilvl="0" w:tplc="8E46A858">
      <w:start w:val="2"/>
      <w:numFmt w:val="decimal"/>
      <w:lvlText w:val="%1."/>
      <w:lvlJc w:val="left"/>
      <w:pPr>
        <w:ind w:left="1080" w:hanging="360"/>
      </w:pPr>
      <w:rPr>
        <w:rFonts w:ascii="ArialMT" w:hAnsi="ArialMT" w:cs="ArialMT" w:hint="default"/>
        <w:color w:val="000000"/>
        <w:sz w:val="21"/>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5" w15:restartNumberingAfterBreak="0">
    <w:nsid w:val="2CD792DD"/>
    <w:multiLevelType w:val="multilevel"/>
    <w:tmpl w:val="FFFFFFFF"/>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6" w15:restartNumberingAfterBreak="0">
    <w:nsid w:val="31BD7A55"/>
    <w:multiLevelType w:val="hybridMultilevel"/>
    <w:tmpl w:val="017E8DD2"/>
    <w:lvl w:ilvl="0" w:tplc="24D8E248">
      <w:start w:val="1"/>
      <w:numFmt w:val="decimal"/>
      <w:lvlText w:val="%1."/>
      <w:lvlJc w:val="left"/>
      <w:pPr>
        <w:ind w:left="720" w:hanging="360"/>
      </w:pPr>
    </w:lvl>
    <w:lvl w:ilvl="1" w:tplc="87F8DBC2">
      <w:start w:val="1"/>
      <w:numFmt w:val="lowerLetter"/>
      <w:lvlText w:val="%2."/>
      <w:lvlJc w:val="left"/>
      <w:pPr>
        <w:ind w:left="1440" w:hanging="360"/>
      </w:pPr>
    </w:lvl>
    <w:lvl w:ilvl="2" w:tplc="61EC392E">
      <w:start w:val="1"/>
      <w:numFmt w:val="lowerRoman"/>
      <w:lvlText w:val="%3."/>
      <w:lvlJc w:val="right"/>
      <w:pPr>
        <w:ind w:left="2160" w:hanging="180"/>
      </w:pPr>
    </w:lvl>
    <w:lvl w:ilvl="3" w:tplc="19ECF98E">
      <w:start w:val="1"/>
      <w:numFmt w:val="decimal"/>
      <w:lvlText w:val="%4."/>
      <w:lvlJc w:val="left"/>
      <w:pPr>
        <w:ind w:left="2880" w:hanging="360"/>
      </w:pPr>
    </w:lvl>
    <w:lvl w:ilvl="4" w:tplc="4968981A">
      <w:start w:val="1"/>
      <w:numFmt w:val="lowerLetter"/>
      <w:lvlText w:val="%5."/>
      <w:lvlJc w:val="left"/>
      <w:pPr>
        <w:ind w:left="3600" w:hanging="360"/>
      </w:pPr>
    </w:lvl>
    <w:lvl w:ilvl="5" w:tplc="BA2A6A20">
      <w:start w:val="1"/>
      <w:numFmt w:val="lowerRoman"/>
      <w:lvlText w:val="%6."/>
      <w:lvlJc w:val="right"/>
      <w:pPr>
        <w:ind w:left="4320" w:hanging="180"/>
      </w:pPr>
    </w:lvl>
    <w:lvl w:ilvl="6" w:tplc="EA5426E6">
      <w:start w:val="1"/>
      <w:numFmt w:val="decimal"/>
      <w:lvlText w:val="%7."/>
      <w:lvlJc w:val="left"/>
      <w:pPr>
        <w:ind w:left="5040" w:hanging="360"/>
      </w:pPr>
    </w:lvl>
    <w:lvl w:ilvl="7" w:tplc="A26CB1F0">
      <w:start w:val="1"/>
      <w:numFmt w:val="lowerLetter"/>
      <w:lvlText w:val="%8."/>
      <w:lvlJc w:val="left"/>
      <w:pPr>
        <w:ind w:left="5760" w:hanging="360"/>
      </w:pPr>
    </w:lvl>
    <w:lvl w:ilvl="8" w:tplc="F88E1DA2">
      <w:start w:val="1"/>
      <w:numFmt w:val="lowerRoman"/>
      <w:lvlText w:val="%9."/>
      <w:lvlJc w:val="right"/>
      <w:pPr>
        <w:ind w:left="6480" w:hanging="180"/>
      </w:pPr>
    </w:lvl>
  </w:abstractNum>
  <w:abstractNum w:abstractNumId="7" w15:restartNumberingAfterBreak="0">
    <w:nsid w:val="35ED73C6"/>
    <w:multiLevelType w:val="hybridMultilevel"/>
    <w:tmpl w:val="0124FE86"/>
    <w:lvl w:ilvl="0" w:tplc="38CEB2B2">
      <w:start w:val="1"/>
      <w:numFmt w:val="low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384A26F2"/>
    <w:multiLevelType w:val="hybridMultilevel"/>
    <w:tmpl w:val="8B2A6D9C"/>
    <w:lvl w:ilvl="0" w:tplc="634245F0">
      <w:start w:val="2"/>
      <w:numFmt w:val="decimal"/>
      <w:lvlText w:val="%1."/>
      <w:lvlJc w:val="left"/>
      <w:pPr>
        <w:ind w:left="1080" w:hanging="360"/>
      </w:pPr>
      <w:rPr>
        <w:rFonts w:ascii="Arial" w:hAnsi="Arial" w:cs="Arial" w:hint="default"/>
        <w:b/>
        <w:color w:val="auto"/>
        <w:sz w:val="22"/>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9" w15:restartNumberingAfterBreak="0">
    <w:nsid w:val="403876B7"/>
    <w:multiLevelType w:val="hybridMultilevel"/>
    <w:tmpl w:val="59D48828"/>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10" w15:restartNumberingAfterBreak="0">
    <w:nsid w:val="477F140E"/>
    <w:multiLevelType w:val="hybridMultilevel"/>
    <w:tmpl w:val="011CF044"/>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11" w15:restartNumberingAfterBreak="0">
    <w:nsid w:val="48AF1BC5"/>
    <w:multiLevelType w:val="hybridMultilevel"/>
    <w:tmpl w:val="AF00424C"/>
    <w:lvl w:ilvl="0" w:tplc="B8A8816E">
      <w:start w:val="1"/>
      <w:numFmt w:val="decimal"/>
      <w:lvlText w:val="%1."/>
      <w:lvlJc w:val="left"/>
      <w:pPr>
        <w:ind w:left="720" w:hanging="720"/>
      </w:pPr>
    </w:lvl>
    <w:lvl w:ilvl="1" w:tplc="D5FCE1C6">
      <w:start w:val="1"/>
      <w:numFmt w:val="decimal"/>
      <w:lvlText w:val="%2."/>
      <w:lvlJc w:val="left"/>
      <w:pPr>
        <w:ind w:left="1440" w:hanging="720"/>
      </w:pPr>
    </w:lvl>
    <w:lvl w:ilvl="2" w:tplc="2DEC199E">
      <w:start w:val="1"/>
      <w:numFmt w:val="decimal"/>
      <w:lvlText w:val="%3."/>
      <w:lvlJc w:val="left"/>
      <w:pPr>
        <w:ind w:left="2160" w:hanging="720"/>
      </w:pPr>
    </w:lvl>
    <w:lvl w:ilvl="3" w:tplc="2A78C6D2">
      <w:start w:val="1"/>
      <w:numFmt w:val="decimal"/>
      <w:lvlText w:val="%4."/>
      <w:lvlJc w:val="left"/>
      <w:pPr>
        <w:ind w:left="2880" w:hanging="720"/>
      </w:pPr>
    </w:lvl>
    <w:lvl w:ilvl="4" w:tplc="E1923176">
      <w:start w:val="1"/>
      <w:numFmt w:val="decimal"/>
      <w:lvlText w:val="%5."/>
      <w:lvlJc w:val="left"/>
      <w:pPr>
        <w:ind w:left="3600" w:hanging="720"/>
      </w:pPr>
    </w:lvl>
    <w:lvl w:ilvl="5" w:tplc="C14E89FE">
      <w:start w:val="1"/>
      <w:numFmt w:val="decimal"/>
      <w:lvlText w:val="%6."/>
      <w:lvlJc w:val="left"/>
      <w:pPr>
        <w:ind w:left="4320" w:hanging="720"/>
      </w:pPr>
    </w:lvl>
    <w:lvl w:ilvl="6" w:tplc="7B282922">
      <w:start w:val="1"/>
      <w:numFmt w:val="decimal"/>
      <w:lvlText w:val="%7."/>
      <w:lvlJc w:val="left"/>
      <w:pPr>
        <w:ind w:left="5040" w:hanging="720"/>
      </w:pPr>
    </w:lvl>
    <w:lvl w:ilvl="7" w:tplc="4746D1F6">
      <w:start w:val="1"/>
      <w:numFmt w:val="decimal"/>
      <w:lvlText w:val="%8."/>
      <w:lvlJc w:val="left"/>
      <w:pPr>
        <w:ind w:left="5760" w:hanging="720"/>
      </w:pPr>
    </w:lvl>
    <w:lvl w:ilvl="8" w:tplc="6ACA1F66">
      <w:start w:val="1"/>
      <w:numFmt w:val="decimal"/>
      <w:lvlText w:val="%9."/>
      <w:lvlJc w:val="left"/>
      <w:pPr>
        <w:ind w:left="6480" w:hanging="720"/>
      </w:pPr>
    </w:lvl>
  </w:abstractNum>
  <w:abstractNum w:abstractNumId="12" w15:restartNumberingAfterBreak="0">
    <w:nsid w:val="495FBB3B"/>
    <w:multiLevelType w:val="hybridMultilevel"/>
    <w:tmpl w:val="FFFFFFFF"/>
    <w:lvl w:ilvl="0" w:tplc="AB80D4DE">
      <w:start w:val="1"/>
      <w:numFmt w:val="bullet"/>
      <w:lvlText w:val=""/>
      <w:lvlJc w:val="left"/>
      <w:pPr>
        <w:ind w:left="720" w:hanging="360"/>
      </w:pPr>
      <w:rPr>
        <w:rFonts w:ascii="Symbol" w:hAnsi="Symbol" w:hint="default"/>
      </w:rPr>
    </w:lvl>
    <w:lvl w:ilvl="1" w:tplc="BF92D838">
      <w:start w:val="1"/>
      <w:numFmt w:val="bullet"/>
      <w:lvlText w:val="o"/>
      <w:lvlJc w:val="left"/>
      <w:pPr>
        <w:ind w:left="1440" w:hanging="360"/>
      </w:pPr>
      <w:rPr>
        <w:rFonts w:ascii="Courier New" w:hAnsi="Courier New" w:hint="default"/>
      </w:rPr>
    </w:lvl>
    <w:lvl w:ilvl="2" w:tplc="58820764">
      <w:start w:val="1"/>
      <w:numFmt w:val="bullet"/>
      <w:lvlText w:val=""/>
      <w:lvlJc w:val="left"/>
      <w:pPr>
        <w:ind w:left="2160" w:hanging="360"/>
      </w:pPr>
      <w:rPr>
        <w:rFonts w:ascii="Wingdings" w:hAnsi="Wingdings" w:hint="default"/>
      </w:rPr>
    </w:lvl>
    <w:lvl w:ilvl="3" w:tplc="E568480E">
      <w:start w:val="1"/>
      <w:numFmt w:val="bullet"/>
      <w:lvlText w:val=""/>
      <w:lvlJc w:val="left"/>
      <w:pPr>
        <w:ind w:left="2880" w:hanging="360"/>
      </w:pPr>
      <w:rPr>
        <w:rFonts w:ascii="Symbol" w:hAnsi="Symbol" w:hint="default"/>
      </w:rPr>
    </w:lvl>
    <w:lvl w:ilvl="4" w:tplc="BA9807C0">
      <w:start w:val="1"/>
      <w:numFmt w:val="bullet"/>
      <w:lvlText w:val="o"/>
      <w:lvlJc w:val="left"/>
      <w:pPr>
        <w:ind w:left="3600" w:hanging="360"/>
      </w:pPr>
      <w:rPr>
        <w:rFonts w:ascii="Courier New" w:hAnsi="Courier New" w:hint="default"/>
      </w:rPr>
    </w:lvl>
    <w:lvl w:ilvl="5" w:tplc="AE70B1CA">
      <w:start w:val="1"/>
      <w:numFmt w:val="bullet"/>
      <w:lvlText w:val=""/>
      <w:lvlJc w:val="left"/>
      <w:pPr>
        <w:ind w:left="4320" w:hanging="360"/>
      </w:pPr>
      <w:rPr>
        <w:rFonts w:ascii="Wingdings" w:hAnsi="Wingdings" w:hint="default"/>
      </w:rPr>
    </w:lvl>
    <w:lvl w:ilvl="6" w:tplc="3662D75C">
      <w:start w:val="1"/>
      <w:numFmt w:val="bullet"/>
      <w:lvlText w:val=""/>
      <w:lvlJc w:val="left"/>
      <w:pPr>
        <w:ind w:left="5040" w:hanging="360"/>
      </w:pPr>
      <w:rPr>
        <w:rFonts w:ascii="Symbol" w:hAnsi="Symbol" w:hint="default"/>
      </w:rPr>
    </w:lvl>
    <w:lvl w:ilvl="7" w:tplc="731C9204">
      <w:start w:val="1"/>
      <w:numFmt w:val="bullet"/>
      <w:lvlText w:val="o"/>
      <w:lvlJc w:val="left"/>
      <w:pPr>
        <w:ind w:left="5760" w:hanging="360"/>
      </w:pPr>
      <w:rPr>
        <w:rFonts w:ascii="Courier New" w:hAnsi="Courier New" w:hint="default"/>
      </w:rPr>
    </w:lvl>
    <w:lvl w:ilvl="8" w:tplc="2C7AD212">
      <w:start w:val="1"/>
      <w:numFmt w:val="bullet"/>
      <w:lvlText w:val=""/>
      <w:lvlJc w:val="left"/>
      <w:pPr>
        <w:ind w:left="6480" w:hanging="360"/>
      </w:pPr>
      <w:rPr>
        <w:rFonts w:ascii="Wingdings" w:hAnsi="Wingdings" w:hint="default"/>
      </w:rPr>
    </w:lvl>
  </w:abstractNum>
  <w:abstractNum w:abstractNumId="13" w15:restartNumberingAfterBreak="0">
    <w:nsid w:val="4F2E935B"/>
    <w:multiLevelType w:val="multilevel"/>
    <w:tmpl w:val="FFFFFFFF"/>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14" w15:restartNumberingAfterBreak="0">
    <w:nsid w:val="567E69F8"/>
    <w:multiLevelType w:val="hybridMultilevel"/>
    <w:tmpl w:val="1F40249C"/>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15" w15:restartNumberingAfterBreak="0">
    <w:nsid w:val="56B77FCF"/>
    <w:multiLevelType w:val="hybridMultilevel"/>
    <w:tmpl w:val="E286ECCE"/>
    <w:lvl w:ilvl="0" w:tplc="EE9C8CF4">
      <w:start w:val="1"/>
      <w:numFmt w:val="upp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6" w15:restartNumberingAfterBreak="0">
    <w:nsid w:val="5FF2031E"/>
    <w:multiLevelType w:val="hybridMultilevel"/>
    <w:tmpl w:val="6C84A426"/>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17" w15:restartNumberingAfterBreak="0">
    <w:nsid w:val="6975018E"/>
    <w:multiLevelType w:val="hybridMultilevel"/>
    <w:tmpl w:val="C2105766"/>
    <w:lvl w:ilvl="0" w:tplc="F06E5300">
      <w:numFmt w:val="bullet"/>
      <w:lvlText w:val="•"/>
      <w:lvlJc w:val="left"/>
      <w:pPr>
        <w:ind w:left="720" w:hanging="360"/>
      </w:pPr>
      <w:rPr>
        <w:rFonts w:ascii="Arial" w:eastAsia="Arial" w:hAnsi="Arial" w:cs="Aria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18" w15:restartNumberingAfterBreak="0">
    <w:nsid w:val="771DB1A8"/>
    <w:multiLevelType w:val="hybridMultilevel"/>
    <w:tmpl w:val="40E61D04"/>
    <w:lvl w:ilvl="0" w:tplc="78388260">
      <w:start w:val="1"/>
      <w:numFmt w:val="bullet"/>
      <w:lvlText w:val=""/>
      <w:lvlJc w:val="left"/>
      <w:pPr>
        <w:ind w:left="720" w:hanging="360"/>
      </w:pPr>
      <w:rPr>
        <w:rFonts w:ascii="Symbol" w:hAnsi="Symbol" w:hint="default"/>
      </w:rPr>
    </w:lvl>
    <w:lvl w:ilvl="1" w:tplc="0172E4B0">
      <w:start w:val="1"/>
      <w:numFmt w:val="bullet"/>
      <w:lvlText w:val="o"/>
      <w:lvlJc w:val="left"/>
      <w:pPr>
        <w:ind w:left="1440" w:hanging="360"/>
      </w:pPr>
      <w:rPr>
        <w:rFonts w:ascii="Courier New" w:hAnsi="Courier New" w:hint="default"/>
      </w:rPr>
    </w:lvl>
    <w:lvl w:ilvl="2" w:tplc="B9C0706E">
      <w:start w:val="1"/>
      <w:numFmt w:val="bullet"/>
      <w:lvlText w:val=""/>
      <w:lvlJc w:val="left"/>
      <w:pPr>
        <w:ind w:left="2160" w:hanging="360"/>
      </w:pPr>
      <w:rPr>
        <w:rFonts w:ascii="Wingdings" w:hAnsi="Wingdings" w:hint="default"/>
      </w:rPr>
    </w:lvl>
    <w:lvl w:ilvl="3" w:tplc="93C0CA0A">
      <w:start w:val="1"/>
      <w:numFmt w:val="bullet"/>
      <w:lvlText w:val=""/>
      <w:lvlJc w:val="left"/>
      <w:pPr>
        <w:ind w:left="2880" w:hanging="360"/>
      </w:pPr>
      <w:rPr>
        <w:rFonts w:ascii="Symbol" w:hAnsi="Symbol" w:hint="default"/>
      </w:rPr>
    </w:lvl>
    <w:lvl w:ilvl="4" w:tplc="916E9328">
      <w:start w:val="1"/>
      <w:numFmt w:val="bullet"/>
      <w:lvlText w:val="o"/>
      <w:lvlJc w:val="left"/>
      <w:pPr>
        <w:ind w:left="3600" w:hanging="360"/>
      </w:pPr>
      <w:rPr>
        <w:rFonts w:ascii="Courier New" w:hAnsi="Courier New" w:hint="default"/>
      </w:rPr>
    </w:lvl>
    <w:lvl w:ilvl="5" w:tplc="E7567558">
      <w:start w:val="1"/>
      <w:numFmt w:val="bullet"/>
      <w:lvlText w:val=""/>
      <w:lvlJc w:val="left"/>
      <w:pPr>
        <w:ind w:left="4320" w:hanging="360"/>
      </w:pPr>
      <w:rPr>
        <w:rFonts w:ascii="Wingdings" w:hAnsi="Wingdings" w:hint="default"/>
      </w:rPr>
    </w:lvl>
    <w:lvl w:ilvl="6" w:tplc="4AE481F0">
      <w:start w:val="1"/>
      <w:numFmt w:val="bullet"/>
      <w:lvlText w:val=""/>
      <w:lvlJc w:val="left"/>
      <w:pPr>
        <w:ind w:left="5040" w:hanging="360"/>
      </w:pPr>
      <w:rPr>
        <w:rFonts w:ascii="Symbol" w:hAnsi="Symbol" w:hint="default"/>
      </w:rPr>
    </w:lvl>
    <w:lvl w:ilvl="7" w:tplc="4F9478D2">
      <w:start w:val="1"/>
      <w:numFmt w:val="bullet"/>
      <w:lvlText w:val="o"/>
      <w:lvlJc w:val="left"/>
      <w:pPr>
        <w:ind w:left="5760" w:hanging="360"/>
      </w:pPr>
      <w:rPr>
        <w:rFonts w:ascii="Courier New" w:hAnsi="Courier New" w:hint="default"/>
      </w:rPr>
    </w:lvl>
    <w:lvl w:ilvl="8" w:tplc="97762A34">
      <w:start w:val="1"/>
      <w:numFmt w:val="bullet"/>
      <w:lvlText w:val=""/>
      <w:lvlJc w:val="left"/>
      <w:pPr>
        <w:ind w:left="6480" w:hanging="360"/>
      </w:pPr>
      <w:rPr>
        <w:rFonts w:ascii="Wingdings" w:hAnsi="Wingdings" w:hint="default"/>
      </w:rPr>
    </w:lvl>
  </w:abstractNum>
  <w:abstractNum w:abstractNumId="19" w15:restartNumberingAfterBreak="0">
    <w:nsid w:val="7B0253F8"/>
    <w:multiLevelType w:val="hybridMultilevel"/>
    <w:tmpl w:val="3C8ACE40"/>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20" w15:restartNumberingAfterBreak="0">
    <w:nsid w:val="7BB59D68"/>
    <w:multiLevelType w:val="hybridMultilevel"/>
    <w:tmpl w:val="81DEA3A0"/>
    <w:lvl w:ilvl="0" w:tplc="BB46141E">
      <w:start w:val="1"/>
      <w:numFmt w:val="bullet"/>
      <w:lvlText w:val=""/>
      <w:lvlJc w:val="left"/>
      <w:pPr>
        <w:ind w:left="720" w:hanging="360"/>
      </w:pPr>
      <w:rPr>
        <w:rFonts w:ascii="Symbol" w:hAnsi="Symbol" w:hint="default"/>
      </w:rPr>
    </w:lvl>
    <w:lvl w:ilvl="1" w:tplc="2332A812">
      <w:start w:val="1"/>
      <w:numFmt w:val="bullet"/>
      <w:lvlText w:val="o"/>
      <w:lvlJc w:val="left"/>
      <w:pPr>
        <w:ind w:left="1440" w:hanging="360"/>
      </w:pPr>
      <w:rPr>
        <w:rFonts w:ascii="Courier New" w:hAnsi="Courier New" w:hint="default"/>
      </w:rPr>
    </w:lvl>
    <w:lvl w:ilvl="2" w:tplc="6EC8497A">
      <w:start w:val="1"/>
      <w:numFmt w:val="bullet"/>
      <w:lvlText w:val=""/>
      <w:lvlJc w:val="left"/>
      <w:pPr>
        <w:ind w:left="2160" w:hanging="360"/>
      </w:pPr>
      <w:rPr>
        <w:rFonts w:ascii="Wingdings" w:hAnsi="Wingdings" w:hint="default"/>
      </w:rPr>
    </w:lvl>
    <w:lvl w:ilvl="3" w:tplc="59125B08">
      <w:start w:val="1"/>
      <w:numFmt w:val="bullet"/>
      <w:lvlText w:val=""/>
      <w:lvlJc w:val="left"/>
      <w:pPr>
        <w:ind w:left="2880" w:hanging="360"/>
      </w:pPr>
      <w:rPr>
        <w:rFonts w:ascii="Symbol" w:hAnsi="Symbol" w:hint="default"/>
      </w:rPr>
    </w:lvl>
    <w:lvl w:ilvl="4" w:tplc="BA5C087E">
      <w:start w:val="1"/>
      <w:numFmt w:val="bullet"/>
      <w:lvlText w:val="o"/>
      <w:lvlJc w:val="left"/>
      <w:pPr>
        <w:ind w:left="3600" w:hanging="360"/>
      </w:pPr>
      <w:rPr>
        <w:rFonts w:ascii="Courier New" w:hAnsi="Courier New" w:hint="default"/>
      </w:rPr>
    </w:lvl>
    <w:lvl w:ilvl="5" w:tplc="3DE2945E">
      <w:start w:val="1"/>
      <w:numFmt w:val="bullet"/>
      <w:lvlText w:val=""/>
      <w:lvlJc w:val="left"/>
      <w:pPr>
        <w:ind w:left="4320" w:hanging="360"/>
      </w:pPr>
      <w:rPr>
        <w:rFonts w:ascii="Wingdings" w:hAnsi="Wingdings" w:hint="default"/>
      </w:rPr>
    </w:lvl>
    <w:lvl w:ilvl="6" w:tplc="576090A6">
      <w:start w:val="1"/>
      <w:numFmt w:val="bullet"/>
      <w:lvlText w:val=""/>
      <w:lvlJc w:val="left"/>
      <w:pPr>
        <w:ind w:left="5040" w:hanging="360"/>
      </w:pPr>
      <w:rPr>
        <w:rFonts w:ascii="Symbol" w:hAnsi="Symbol" w:hint="default"/>
      </w:rPr>
    </w:lvl>
    <w:lvl w:ilvl="7" w:tplc="CB6A478C">
      <w:start w:val="1"/>
      <w:numFmt w:val="bullet"/>
      <w:lvlText w:val="o"/>
      <w:lvlJc w:val="left"/>
      <w:pPr>
        <w:ind w:left="5760" w:hanging="360"/>
      </w:pPr>
      <w:rPr>
        <w:rFonts w:ascii="Courier New" w:hAnsi="Courier New" w:hint="default"/>
      </w:rPr>
    </w:lvl>
    <w:lvl w:ilvl="8" w:tplc="31C25FBE">
      <w:start w:val="1"/>
      <w:numFmt w:val="bullet"/>
      <w:lvlText w:val=""/>
      <w:lvlJc w:val="left"/>
      <w:pPr>
        <w:ind w:left="6480" w:hanging="360"/>
      </w:pPr>
      <w:rPr>
        <w:rFonts w:ascii="Wingdings" w:hAnsi="Wingdings" w:hint="default"/>
      </w:rPr>
    </w:lvl>
  </w:abstractNum>
  <w:num w:numId="1" w16cid:durableId="1588466961">
    <w:abstractNumId w:val="6"/>
  </w:num>
  <w:num w:numId="2" w16cid:durableId="164902016">
    <w:abstractNumId w:val="18"/>
  </w:num>
  <w:num w:numId="3" w16cid:durableId="382868036">
    <w:abstractNumId w:val="20"/>
  </w:num>
  <w:num w:numId="4" w16cid:durableId="669479790">
    <w:abstractNumId w:val="2"/>
  </w:num>
  <w:num w:numId="5" w16cid:durableId="370957901">
    <w:abstractNumId w:val="5"/>
  </w:num>
  <w:num w:numId="6" w16cid:durableId="12003569">
    <w:abstractNumId w:val="13"/>
  </w:num>
  <w:num w:numId="7" w16cid:durableId="1904750873">
    <w:abstractNumId w:val="12"/>
  </w:num>
  <w:num w:numId="8" w16cid:durableId="437457808">
    <w:abstractNumId w:val="0"/>
  </w:num>
  <w:num w:numId="9" w16cid:durableId="1367950305">
    <w:abstractNumId w:val="11"/>
  </w:num>
  <w:num w:numId="10" w16cid:durableId="602567056">
    <w:abstractNumId w:val="1"/>
  </w:num>
  <w:num w:numId="11" w16cid:durableId="602416764">
    <w:abstractNumId w:val="16"/>
  </w:num>
  <w:num w:numId="12" w16cid:durableId="976299403">
    <w:abstractNumId w:val="19"/>
  </w:num>
  <w:num w:numId="13" w16cid:durableId="584458036">
    <w:abstractNumId w:val="14"/>
  </w:num>
  <w:num w:numId="14" w16cid:durableId="65878092">
    <w:abstractNumId w:val="9"/>
  </w:num>
  <w:num w:numId="15" w16cid:durableId="915743086">
    <w:abstractNumId w:val="10"/>
  </w:num>
  <w:num w:numId="16" w16cid:durableId="2026710950">
    <w:abstractNumId w:val="17"/>
  </w:num>
  <w:num w:numId="17" w16cid:durableId="726538508">
    <w:abstractNumId w:val="7"/>
  </w:num>
  <w:num w:numId="18" w16cid:durableId="1828477969">
    <w:abstractNumId w:val="8"/>
  </w:num>
  <w:num w:numId="19" w16cid:durableId="1037388222">
    <w:abstractNumId w:val="4"/>
  </w:num>
  <w:num w:numId="20" w16cid:durableId="1371763821">
    <w:abstractNumId w:val="3"/>
  </w:num>
  <w:num w:numId="21" w16cid:durableId="75459532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01F2"/>
    <w:rsid w:val="00001C38"/>
    <w:rsid w:val="00007DF2"/>
    <w:rsid w:val="00023618"/>
    <w:rsid w:val="00052AB9"/>
    <w:rsid w:val="000A300F"/>
    <w:rsid w:val="000C0B54"/>
    <w:rsid w:val="000C4334"/>
    <w:rsid w:val="000D510C"/>
    <w:rsid w:val="000D5A96"/>
    <w:rsid w:val="000E3D6C"/>
    <w:rsid w:val="000E76A0"/>
    <w:rsid w:val="001018CD"/>
    <w:rsid w:val="00101C84"/>
    <w:rsid w:val="0012289D"/>
    <w:rsid w:val="001248EC"/>
    <w:rsid w:val="00125B52"/>
    <w:rsid w:val="00136447"/>
    <w:rsid w:val="00137B66"/>
    <w:rsid w:val="001579CE"/>
    <w:rsid w:val="0017561F"/>
    <w:rsid w:val="001801F2"/>
    <w:rsid w:val="00183EBC"/>
    <w:rsid w:val="00185714"/>
    <w:rsid w:val="00190EB5"/>
    <w:rsid w:val="001B01A4"/>
    <w:rsid w:val="001C66DE"/>
    <w:rsid w:val="001D11D4"/>
    <w:rsid w:val="001D55AF"/>
    <w:rsid w:val="001F633D"/>
    <w:rsid w:val="00201121"/>
    <w:rsid w:val="00217DFC"/>
    <w:rsid w:val="002259CC"/>
    <w:rsid w:val="002409D6"/>
    <w:rsid w:val="00247F1C"/>
    <w:rsid w:val="00251174"/>
    <w:rsid w:val="002603AF"/>
    <w:rsid w:val="00265A51"/>
    <w:rsid w:val="0026613D"/>
    <w:rsid w:val="00270D2B"/>
    <w:rsid w:val="00285752"/>
    <w:rsid w:val="0028667E"/>
    <w:rsid w:val="002C3B33"/>
    <w:rsid w:val="002C5025"/>
    <w:rsid w:val="0030457E"/>
    <w:rsid w:val="003252D1"/>
    <w:rsid w:val="00326BAB"/>
    <w:rsid w:val="003336AD"/>
    <w:rsid w:val="00350AE4"/>
    <w:rsid w:val="00381429"/>
    <w:rsid w:val="00384333"/>
    <w:rsid w:val="00392E97"/>
    <w:rsid w:val="003A58BE"/>
    <w:rsid w:val="003A6E9F"/>
    <w:rsid w:val="003B2D50"/>
    <w:rsid w:val="003C2B2C"/>
    <w:rsid w:val="003C456D"/>
    <w:rsid w:val="003F322C"/>
    <w:rsid w:val="003F3EF7"/>
    <w:rsid w:val="004031DF"/>
    <w:rsid w:val="00435A61"/>
    <w:rsid w:val="004363CC"/>
    <w:rsid w:val="00451705"/>
    <w:rsid w:val="00463ECF"/>
    <w:rsid w:val="00466B65"/>
    <w:rsid w:val="00496639"/>
    <w:rsid w:val="004C32DE"/>
    <w:rsid w:val="004C5900"/>
    <w:rsid w:val="004D09A3"/>
    <w:rsid w:val="004D1707"/>
    <w:rsid w:val="004E1714"/>
    <w:rsid w:val="004E30D8"/>
    <w:rsid w:val="004E4837"/>
    <w:rsid w:val="004E54C6"/>
    <w:rsid w:val="00566256"/>
    <w:rsid w:val="00583A05"/>
    <w:rsid w:val="005A687F"/>
    <w:rsid w:val="005A7114"/>
    <w:rsid w:val="005B25CE"/>
    <w:rsid w:val="005D47BC"/>
    <w:rsid w:val="005E0475"/>
    <w:rsid w:val="005E183E"/>
    <w:rsid w:val="00614FC0"/>
    <w:rsid w:val="0062040A"/>
    <w:rsid w:val="00623B56"/>
    <w:rsid w:val="00624564"/>
    <w:rsid w:val="006454DB"/>
    <w:rsid w:val="00646546"/>
    <w:rsid w:val="00667412"/>
    <w:rsid w:val="00686841"/>
    <w:rsid w:val="006945E7"/>
    <w:rsid w:val="006B03B9"/>
    <w:rsid w:val="006B1564"/>
    <w:rsid w:val="006B7A8F"/>
    <w:rsid w:val="006C427F"/>
    <w:rsid w:val="006D3730"/>
    <w:rsid w:val="006F7AA6"/>
    <w:rsid w:val="006F7ABD"/>
    <w:rsid w:val="007239F4"/>
    <w:rsid w:val="007326F8"/>
    <w:rsid w:val="00747630"/>
    <w:rsid w:val="00763602"/>
    <w:rsid w:val="007649DB"/>
    <w:rsid w:val="00781DF3"/>
    <w:rsid w:val="00786BE2"/>
    <w:rsid w:val="00787D3E"/>
    <w:rsid w:val="007A29F8"/>
    <w:rsid w:val="007B5E94"/>
    <w:rsid w:val="007C5DD8"/>
    <w:rsid w:val="007C730B"/>
    <w:rsid w:val="007CB3BF"/>
    <w:rsid w:val="007D6F98"/>
    <w:rsid w:val="007E1D39"/>
    <w:rsid w:val="00837FC5"/>
    <w:rsid w:val="008413CB"/>
    <w:rsid w:val="00845615"/>
    <w:rsid w:val="00861A06"/>
    <w:rsid w:val="00872BCC"/>
    <w:rsid w:val="00877D81"/>
    <w:rsid w:val="00896C36"/>
    <w:rsid w:val="008A563D"/>
    <w:rsid w:val="008C7305"/>
    <w:rsid w:val="008D1362"/>
    <w:rsid w:val="008E0AB6"/>
    <w:rsid w:val="008E6D9D"/>
    <w:rsid w:val="008F762C"/>
    <w:rsid w:val="0091230A"/>
    <w:rsid w:val="0092333E"/>
    <w:rsid w:val="00931743"/>
    <w:rsid w:val="00950CBC"/>
    <w:rsid w:val="00957637"/>
    <w:rsid w:val="009734BE"/>
    <w:rsid w:val="009874DE"/>
    <w:rsid w:val="00987F2E"/>
    <w:rsid w:val="00992E3F"/>
    <w:rsid w:val="00995CFF"/>
    <w:rsid w:val="00997BF2"/>
    <w:rsid w:val="009B1610"/>
    <w:rsid w:val="009B7A8A"/>
    <w:rsid w:val="009C00F8"/>
    <w:rsid w:val="009D591C"/>
    <w:rsid w:val="009E31D5"/>
    <w:rsid w:val="00A22AD8"/>
    <w:rsid w:val="00A27C8E"/>
    <w:rsid w:val="00A44B90"/>
    <w:rsid w:val="00A55D1F"/>
    <w:rsid w:val="00A61BF7"/>
    <w:rsid w:val="00A65790"/>
    <w:rsid w:val="00A67BAA"/>
    <w:rsid w:val="00A8646D"/>
    <w:rsid w:val="00A8762D"/>
    <w:rsid w:val="00A959E4"/>
    <w:rsid w:val="00AA03A3"/>
    <w:rsid w:val="00AA4090"/>
    <w:rsid w:val="00AD3823"/>
    <w:rsid w:val="00AE507F"/>
    <w:rsid w:val="00AE62DA"/>
    <w:rsid w:val="00B24535"/>
    <w:rsid w:val="00B440A1"/>
    <w:rsid w:val="00B5491E"/>
    <w:rsid w:val="00B555AC"/>
    <w:rsid w:val="00B8705C"/>
    <w:rsid w:val="00B971F9"/>
    <w:rsid w:val="00BB256B"/>
    <w:rsid w:val="00BB6B55"/>
    <w:rsid w:val="00BC15AF"/>
    <w:rsid w:val="00BD0B88"/>
    <w:rsid w:val="00BE3C99"/>
    <w:rsid w:val="00BE456E"/>
    <w:rsid w:val="00BE7694"/>
    <w:rsid w:val="00BF64AC"/>
    <w:rsid w:val="00C06F12"/>
    <w:rsid w:val="00C11C72"/>
    <w:rsid w:val="00C27F3B"/>
    <w:rsid w:val="00C43912"/>
    <w:rsid w:val="00C519E6"/>
    <w:rsid w:val="00C55603"/>
    <w:rsid w:val="00C672B1"/>
    <w:rsid w:val="00C76CB3"/>
    <w:rsid w:val="00C851CB"/>
    <w:rsid w:val="00CC73FC"/>
    <w:rsid w:val="00CE1A0D"/>
    <w:rsid w:val="00CF28CA"/>
    <w:rsid w:val="00D163C4"/>
    <w:rsid w:val="00D19A97"/>
    <w:rsid w:val="00D32708"/>
    <w:rsid w:val="00D47F6B"/>
    <w:rsid w:val="00D54997"/>
    <w:rsid w:val="00D6029A"/>
    <w:rsid w:val="00D82B14"/>
    <w:rsid w:val="00D9119F"/>
    <w:rsid w:val="00DA31E5"/>
    <w:rsid w:val="00DE0582"/>
    <w:rsid w:val="00E61402"/>
    <w:rsid w:val="00E6465C"/>
    <w:rsid w:val="00E669DE"/>
    <w:rsid w:val="00E709B1"/>
    <w:rsid w:val="00E73575"/>
    <w:rsid w:val="00E7696D"/>
    <w:rsid w:val="00E8627C"/>
    <w:rsid w:val="00E86370"/>
    <w:rsid w:val="00EA0D82"/>
    <w:rsid w:val="00EA5EDB"/>
    <w:rsid w:val="00EF402D"/>
    <w:rsid w:val="00F23ACC"/>
    <w:rsid w:val="00F47EE0"/>
    <w:rsid w:val="00F648C1"/>
    <w:rsid w:val="00F67534"/>
    <w:rsid w:val="00F81CE8"/>
    <w:rsid w:val="00F8240F"/>
    <w:rsid w:val="00FB6810"/>
    <w:rsid w:val="00FD4242"/>
    <w:rsid w:val="00FE2791"/>
    <w:rsid w:val="00FF2D9E"/>
    <w:rsid w:val="01FBC242"/>
    <w:rsid w:val="02011FD9"/>
    <w:rsid w:val="02A6463C"/>
    <w:rsid w:val="02C2C724"/>
    <w:rsid w:val="03A4A2DB"/>
    <w:rsid w:val="0426B587"/>
    <w:rsid w:val="04A5DBFA"/>
    <w:rsid w:val="04D8ACD8"/>
    <w:rsid w:val="064A4E5E"/>
    <w:rsid w:val="064AD239"/>
    <w:rsid w:val="069AA53A"/>
    <w:rsid w:val="077AAE04"/>
    <w:rsid w:val="077CE62D"/>
    <w:rsid w:val="0811B598"/>
    <w:rsid w:val="085D07F9"/>
    <w:rsid w:val="089624D3"/>
    <w:rsid w:val="094E3811"/>
    <w:rsid w:val="0A38F69E"/>
    <w:rsid w:val="0AD8470B"/>
    <w:rsid w:val="0AEBFBEF"/>
    <w:rsid w:val="0AF86E9E"/>
    <w:rsid w:val="0B57E912"/>
    <w:rsid w:val="0B81CDB9"/>
    <w:rsid w:val="0C0C18BB"/>
    <w:rsid w:val="0C3E3229"/>
    <w:rsid w:val="0CAC8FB0"/>
    <w:rsid w:val="0D3903DA"/>
    <w:rsid w:val="0E4C2F06"/>
    <w:rsid w:val="0E93EE9F"/>
    <w:rsid w:val="0E9BE2A4"/>
    <w:rsid w:val="0F079608"/>
    <w:rsid w:val="1056A7B6"/>
    <w:rsid w:val="10A32E62"/>
    <w:rsid w:val="1118BD95"/>
    <w:rsid w:val="11916388"/>
    <w:rsid w:val="11C643CD"/>
    <w:rsid w:val="123A5A52"/>
    <w:rsid w:val="12515726"/>
    <w:rsid w:val="1295C884"/>
    <w:rsid w:val="12CE8922"/>
    <w:rsid w:val="1334B7E4"/>
    <w:rsid w:val="13416D2B"/>
    <w:rsid w:val="137439FE"/>
    <w:rsid w:val="13745329"/>
    <w:rsid w:val="13EE357D"/>
    <w:rsid w:val="14524355"/>
    <w:rsid w:val="148C3F72"/>
    <w:rsid w:val="1514B5C2"/>
    <w:rsid w:val="15375229"/>
    <w:rsid w:val="15634F16"/>
    <w:rsid w:val="156E878B"/>
    <w:rsid w:val="15C237B4"/>
    <w:rsid w:val="15D66639"/>
    <w:rsid w:val="173748F7"/>
    <w:rsid w:val="17D7E411"/>
    <w:rsid w:val="17F921FA"/>
    <w:rsid w:val="180D2773"/>
    <w:rsid w:val="185EC5A1"/>
    <w:rsid w:val="18B8E0F0"/>
    <w:rsid w:val="1A60638A"/>
    <w:rsid w:val="1AAA867B"/>
    <w:rsid w:val="1AF601EF"/>
    <w:rsid w:val="1B78662F"/>
    <w:rsid w:val="1BE92900"/>
    <w:rsid w:val="1C0271E7"/>
    <w:rsid w:val="1C10FEE8"/>
    <w:rsid w:val="1C2FF0F5"/>
    <w:rsid w:val="1CAB91A5"/>
    <w:rsid w:val="1CF54765"/>
    <w:rsid w:val="1D2530A2"/>
    <w:rsid w:val="1D9C4D13"/>
    <w:rsid w:val="1DA2EB85"/>
    <w:rsid w:val="1E3FEFBB"/>
    <w:rsid w:val="1E5952A1"/>
    <w:rsid w:val="1F402A60"/>
    <w:rsid w:val="1F7AA0E8"/>
    <w:rsid w:val="1FB86E51"/>
    <w:rsid w:val="20026D61"/>
    <w:rsid w:val="2043D087"/>
    <w:rsid w:val="20689970"/>
    <w:rsid w:val="20A8B1B6"/>
    <w:rsid w:val="2122A4C8"/>
    <w:rsid w:val="2144DEBB"/>
    <w:rsid w:val="215545D4"/>
    <w:rsid w:val="21E2324D"/>
    <w:rsid w:val="22C098D6"/>
    <w:rsid w:val="22EF2A5C"/>
    <w:rsid w:val="2318D4AF"/>
    <w:rsid w:val="2366FB63"/>
    <w:rsid w:val="23FAA13F"/>
    <w:rsid w:val="24476623"/>
    <w:rsid w:val="246F83D2"/>
    <w:rsid w:val="259E2E3B"/>
    <w:rsid w:val="25C92795"/>
    <w:rsid w:val="2611D7F0"/>
    <w:rsid w:val="26CA9B75"/>
    <w:rsid w:val="271264F5"/>
    <w:rsid w:val="27D357FE"/>
    <w:rsid w:val="28230B99"/>
    <w:rsid w:val="283F7EC8"/>
    <w:rsid w:val="2854E7E3"/>
    <w:rsid w:val="285E692C"/>
    <w:rsid w:val="28BDEFC0"/>
    <w:rsid w:val="28C0330E"/>
    <w:rsid w:val="28DC4926"/>
    <w:rsid w:val="297C4E86"/>
    <w:rsid w:val="2A9EC22B"/>
    <w:rsid w:val="2AF24AC6"/>
    <w:rsid w:val="2BE266C4"/>
    <w:rsid w:val="2BF35948"/>
    <w:rsid w:val="2C85C4AC"/>
    <w:rsid w:val="2CA492CA"/>
    <w:rsid w:val="2CA76634"/>
    <w:rsid w:val="2D6DA153"/>
    <w:rsid w:val="2D75378B"/>
    <w:rsid w:val="2DC7521D"/>
    <w:rsid w:val="2E99A9B6"/>
    <w:rsid w:val="2F734986"/>
    <w:rsid w:val="2F9871E8"/>
    <w:rsid w:val="2FA30D5B"/>
    <w:rsid w:val="2FB9094C"/>
    <w:rsid w:val="2FE9F989"/>
    <w:rsid w:val="2FF56D55"/>
    <w:rsid w:val="300A1297"/>
    <w:rsid w:val="3084FA9B"/>
    <w:rsid w:val="30AC739C"/>
    <w:rsid w:val="31560F9C"/>
    <w:rsid w:val="315F4307"/>
    <w:rsid w:val="31E75CAB"/>
    <w:rsid w:val="31F1636C"/>
    <w:rsid w:val="3248B02F"/>
    <w:rsid w:val="339D53B7"/>
    <w:rsid w:val="342D211D"/>
    <w:rsid w:val="3557AEAC"/>
    <w:rsid w:val="35EF1353"/>
    <w:rsid w:val="3700A619"/>
    <w:rsid w:val="377B7BE2"/>
    <w:rsid w:val="391F4661"/>
    <w:rsid w:val="3A275E58"/>
    <w:rsid w:val="3A4BF5ED"/>
    <w:rsid w:val="3A82A0D5"/>
    <w:rsid w:val="3AD53A29"/>
    <w:rsid w:val="3AE46583"/>
    <w:rsid w:val="3B376E77"/>
    <w:rsid w:val="3B3D4555"/>
    <w:rsid w:val="3BAAC7F2"/>
    <w:rsid w:val="3C0C2E5F"/>
    <w:rsid w:val="3D044B35"/>
    <w:rsid w:val="3D5B4780"/>
    <w:rsid w:val="3DDEBFE0"/>
    <w:rsid w:val="3E1BE660"/>
    <w:rsid w:val="3ECD512D"/>
    <w:rsid w:val="3F279FBA"/>
    <w:rsid w:val="3F82EFF5"/>
    <w:rsid w:val="40A26691"/>
    <w:rsid w:val="40DCB04D"/>
    <w:rsid w:val="41990F76"/>
    <w:rsid w:val="41C8B228"/>
    <w:rsid w:val="41D386A8"/>
    <w:rsid w:val="42254BFE"/>
    <w:rsid w:val="436B70E5"/>
    <w:rsid w:val="43BFD7E3"/>
    <w:rsid w:val="440553C8"/>
    <w:rsid w:val="4468D457"/>
    <w:rsid w:val="44920096"/>
    <w:rsid w:val="44BD3695"/>
    <w:rsid w:val="44E79E66"/>
    <w:rsid w:val="4510DFD9"/>
    <w:rsid w:val="45216B4B"/>
    <w:rsid w:val="4559F924"/>
    <w:rsid w:val="45A738BD"/>
    <w:rsid w:val="45FF9099"/>
    <w:rsid w:val="460F6B0D"/>
    <w:rsid w:val="466ACB2B"/>
    <w:rsid w:val="4671554E"/>
    <w:rsid w:val="4704D575"/>
    <w:rsid w:val="484B21B7"/>
    <w:rsid w:val="492D9367"/>
    <w:rsid w:val="4937403C"/>
    <w:rsid w:val="49B357CC"/>
    <w:rsid w:val="4A06B62E"/>
    <w:rsid w:val="4A10D459"/>
    <w:rsid w:val="4A3E221F"/>
    <w:rsid w:val="4A6819B5"/>
    <w:rsid w:val="4AD178F4"/>
    <w:rsid w:val="4B8A024C"/>
    <w:rsid w:val="4B8D6743"/>
    <w:rsid w:val="4C2CF256"/>
    <w:rsid w:val="4C51442C"/>
    <w:rsid w:val="4C9D4181"/>
    <w:rsid w:val="4CB4D7CA"/>
    <w:rsid w:val="4CB52804"/>
    <w:rsid w:val="4CCEA357"/>
    <w:rsid w:val="4D0A11C5"/>
    <w:rsid w:val="4D243672"/>
    <w:rsid w:val="4D990743"/>
    <w:rsid w:val="4DB8D2E8"/>
    <w:rsid w:val="4EA14AD0"/>
    <w:rsid w:val="4EAD98F9"/>
    <w:rsid w:val="4EADD11F"/>
    <w:rsid w:val="4EC5C567"/>
    <w:rsid w:val="4ED2ECD4"/>
    <w:rsid w:val="4F2F0EF3"/>
    <w:rsid w:val="4F375999"/>
    <w:rsid w:val="4FFA0FFD"/>
    <w:rsid w:val="5004AF0E"/>
    <w:rsid w:val="50EF1B3F"/>
    <w:rsid w:val="512091BF"/>
    <w:rsid w:val="51BD54A0"/>
    <w:rsid w:val="51EF038B"/>
    <w:rsid w:val="53CA37BA"/>
    <w:rsid w:val="53F3C0F9"/>
    <w:rsid w:val="5441CBCB"/>
    <w:rsid w:val="54783BFD"/>
    <w:rsid w:val="54D19D05"/>
    <w:rsid w:val="552D32C9"/>
    <w:rsid w:val="5530C165"/>
    <w:rsid w:val="553196DE"/>
    <w:rsid w:val="5551DC78"/>
    <w:rsid w:val="557127EB"/>
    <w:rsid w:val="56F86D94"/>
    <w:rsid w:val="58AB44F2"/>
    <w:rsid w:val="58C65F6F"/>
    <w:rsid w:val="5A0DEE2F"/>
    <w:rsid w:val="5A2211C4"/>
    <w:rsid w:val="5A975E4A"/>
    <w:rsid w:val="5AAEFCF7"/>
    <w:rsid w:val="5AC91AC4"/>
    <w:rsid w:val="5B3FE8E5"/>
    <w:rsid w:val="5B4708AB"/>
    <w:rsid w:val="5C045292"/>
    <w:rsid w:val="5C32CE90"/>
    <w:rsid w:val="5C42CA68"/>
    <w:rsid w:val="5C82A8E4"/>
    <w:rsid w:val="5CC10568"/>
    <w:rsid w:val="5CE87D6E"/>
    <w:rsid w:val="5D00D339"/>
    <w:rsid w:val="5D8BC152"/>
    <w:rsid w:val="5DAE2F2A"/>
    <w:rsid w:val="5DB41424"/>
    <w:rsid w:val="5E495D98"/>
    <w:rsid w:val="5F188846"/>
    <w:rsid w:val="5F5DC9B5"/>
    <w:rsid w:val="5FD1BBE6"/>
    <w:rsid w:val="60533700"/>
    <w:rsid w:val="60CC85A7"/>
    <w:rsid w:val="60EDE8C0"/>
    <w:rsid w:val="612066EE"/>
    <w:rsid w:val="618DB376"/>
    <w:rsid w:val="618E8F83"/>
    <w:rsid w:val="61F5E600"/>
    <w:rsid w:val="62AC36F3"/>
    <w:rsid w:val="62B1CA5D"/>
    <w:rsid w:val="62BC3579"/>
    <w:rsid w:val="63AA93B2"/>
    <w:rsid w:val="63D6A67B"/>
    <w:rsid w:val="63F80780"/>
    <w:rsid w:val="644B67D6"/>
    <w:rsid w:val="6479C41B"/>
    <w:rsid w:val="653DA837"/>
    <w:rsid w:val="658AD680"/>
    <w:rsid w:val="65DE49EF"/>
    <w:rsid w:val="662770C8"/>
    <w:rsid w:val="6627D650"/>
    <w:rsid w:val="6652A62E"/>
    <w:rsid w:val="66BEF833"/>
    <w:rsid w:val="6825391E"/>
    <w:rsid w:val="68542EED"/>
    <w:rsid w:val="686C927B"/>
    <w:rsid w:val="6878B3B1"/>
    <w:rsid w:val="691B4B34"/>
    <w:rsid w:val="694FFC6A"/>
    <w:rsid w:val="6A4C6804"/>
    <w:rsid w:val="6AC88A69"/>
    <w:rsid w:val="6AD0E61E"/>
    <w:rsid w:val="6AD654BA"/>
    <w:rsid w:val="6B0B4014"/>
    <w:rsid w:val="6B2E7476"/>
    <w:rsid w:val="6BFD2590"/>
    <w:rsid w:val="6C64E08D"/>
    <w:rsid w:val="6CCFF314"/>
    <w:rsid w:val="6CF1FC60"/>
    <w:rsid w:val="6D41A435"/>
    <w:rsid w:val="6DF357F8"/>
    <w:rsid w:val="6F1CC8B3"/>
    <w:rsid w:val="6F2A16B3"/>
    <w:rsid w:val="6F54DC9F"/>
    <w:rsid w:val="6F5E9D3A"/>
    <w:rsid w:val="70A68005"/>
    <w:rsid w:val="711D7333"/>
    <w:rsid w:val="713BC81A"/>
    <w:rsid w:val="713FB0C1"/>
    <w:rsid w:val="71597C4E"/>
    <w:rsid w:val="717201A0"/>
    <w:rsid w:val="71D07569"/>
    <w:rsid w:val="71FC6680"/>
    <w:rsid w:val="722B9923"/>
    <w:rsid w:val="725B2C6E"/>
    <w:rsid w:val="7372042B"/>
    <w:rsid w:val="73E101C1"/>
    <w:rsid w:val="73EF7718"/>
    <w:rsid w:val="7537EBF7"/>
    <w:rsid w:val="75487360"/>
    <w:rsid w:val="759CFE0F"/>
    <w:rsid w:val="759E0CA5"/>
    <w:rsid w:val="76B79CCC"/>
    <w:rsid w:val="78706DBC"/>
    <w:rsid w:val="7876A7F2"/>
    <w:rsid w:val="78C0CF89"/>
    <w:rsid w:val="7931895B"/>
    <w:rsid w:val="79385FD3"/>
    <w:rsid w:val="799991D6"/>
    <w:rsid w:val="79E0265D"/>
    <w:rsid w:val="7A7B6720"/>
    <w:rsid w:val="7A912960"/>
    <w:rsid w:val="7B884AA9"/>
    <w:rsid w:val="7BA8ACD5"/>
    <w:rsid w:val="7CEACB9C"/>
    <w:rsid w:val="7D1F525F"/>
    <w:rsid w:val="7DC3A2D5"/>
    <w:rsid w:val="7EAD391C"/>
    <w:rsid w:val="7EAF3CB4"/>
    <w:rsid w:val="7FB91C98"/>
    <w:rsid w:val="7FBE94CC"/>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dark1"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C5CE096"/>
  <w15:docId w15:val="{0C68956A-E90F-49A5-ABBF-55B67C68C8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color w:val="000000"/>
        <w:sz w:val="19"/>
        <w:szCs w:val="19"/>
        <w:lang w:val="es-CO" w:eastAsia="es-C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Pr>
      <w:sz w:val="24"/>
      <w:szCs w:val="24"/>
    </w:rPr>
  </w:style>
  <w:style w:type="paragraph" w:styleId="Ttulo1">
    <w:name w:val="heading 1"/>
    <w:basedOn w:val="Normal"/>
    <w:next w:val="Normal"/>
    <w:pPr>
      <w:outlineLvl w:val="0"/>
    </w:pPr>
    <w:rPr>
      <w:rFonts w:ascii="Arial" w:hAnsi="Arial" w:cs="Arial"/>
      <w:b/>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59"/>
    <w:tblPr>
      <w:tblCellMar>
        <w:top w:w="0" w:type="dxa"/>
        <w:left w:w="75" w:type="dxa"/>
        <w:bottom w:w="0" w:type="dxa"/>
        <w:right w:w="75" w:type="dxa"/>
      </w:tblCellMar>
    </w:tblPr>
  </w:style>
  <w:style w:type="character" w:customStyle="1" w:styleId="Fuentedeprrafopredeter0">
    <w:name w:val="Fuente de párrafo predeter"/>
  </w:style>
  <w:style w:type="character" w:customStyle="1" w:styleId="Fuentedeprrafopredeter00">
    <w:name w:val="Fuente de párrafo predeter0"/>
  </w:style>
  <w:style w:type="character" w:customStyle="1" w:styleId="Fuentedeprrafopredeter1">
    <w:name w:val="Fuente de párrafo predeter1"/>
  </w:style>
  <w:style w:type="character" w:customStyle="1" w:styleId="Fuentedeprrafopredeter2">
    <w:name w:val="Fuente de párrafo predeter2"/>
  </w:style>
  <w:style w:type="character" w:customStyle="1" w:styleId="Fuentedeprrafopredeter3">
    <w:name w:val="Fuente de párrafo predeter3"/>
  </w:style>
  <w:style w:type="character" w:customStyle="1" w:styleId="Fuentedeprrafopredeter4">
    <w:name w:val="Fuente de párrafo predeter4"/>
  </w:style>
  <w:style w:type="character" w:customStyle="1" w:styleId="Fuentedeprrafopredeter5">
    <w:name w:val="Fuente de párrafo predeter5"/>
  </w:style>
  <w:style w:type="character" w:customStyle="1" w:styleId="Fuentedeprrafopredeter6">
    <w:name w:val="Fuente de párrafo predeter6"/>
  </w:style>
  <w:style w:type="character" w:customStyle="1" w:styleId="Fuentedeprrafopredeter7">
    <w:name w:val="Fuente de párrafo predeter7"/>
  </w:style>
  <w:style w:type="character" w:customStyle="1" w:styleId="Fuentedeprrafopredeter8">
    <w:name w:val="Fuente de párrafo predeter8"/>
  </w:style>
  <w:style w:type="character" w:customStyle="1" w:styleId="Fuentedeprrafopredeter9">
    <w:name w:val="Fuente de párrafo predeter9"/>
  </w:style>
  <w:style w:type="character" w:customStyle="1" w:styleId="Fuentedeprrafopredeter10">
    <w:name w:val="Fuente de párrafo predeter10"/>
  </w:style>
  <w:style w:type="character" w:customStyle="1" w:styleId="Fuentedeprrafopredeter11">
    <w:name w:val="Fuente de párrafo predeter11"/>
  </w:style>
  <w:style w:type="character" w:customStyle="1" w:styleId="Fuentedeprrafopredeter12">
    <w:name w:val="Fuente de párrafo predeter12"/>
  </w:style>
  <w:style w:type="paragraph" w:customStyle="1" w:styleId="Standard">
    <w:name w:val="Standard"/>
  </w:style>
  <w:style w:type="paragraph" w:customStyle="1" w:styleId="Heading">
    <w:name w:val="Heading"/>
    <w:basedOn w:val="Normal"/>
    <w:pPr>
      <w:tabs>
        <w:tab w:val="center" w:pos="4252"/>
        <w:tab w:val="right" w:pos="8504"/>
      </w:tabs>
    </w:pPr>
  </w:style>
  <w:style w:type="paragraph" w:customStyle="1" w:styleId="Textbody">
    <w:name w:val="Text body"/>
    <w:basedOn w:val="Standard"/>
    <w:pPr>
      <w:spacing w:after="120"/>
    </w:pPr>
  </w:style>
  <w:style w:type="paragraph" w:styleId="Piedepgina">
    <w:name w:val="footer"/>
    <w:basedOn w:val="Normal"/>
    <w:uiPriority w:val="99"/>
    <w:pPr>
      <w:tabs>
        <w:tab w:val="center" w:pos="4419"/>
        <w:tab w:val="right" w:pos="8838"/>
      </w:tabs>
    </w:pPr>
  </w:style>
  <w:style w:type="paragraph" w:customStyle="1" w:styleId="CarCarCarCarCarCarCarCarCarCarCarCarCarCarCarCarCarCarCarCarCarCarCar">
    <w:name w:val="Car Car Car Car Car Car Car Car Car Car Car Car Car Car Car Car Car Car Car Car Car Car Car"/>
    <w:basedOn w:val="Normal"/>
    <w:pPr>
      <w:spacing w:after="160" w:line="240" w:lineRule="exact"/>
    </w:pPr>
    <w:rPr>
      <w:rFonts w:ascii="Verdana" w:hAnsi="Verdana" w:cs="Verdana"/>
      <w:sz w:val="20"/>
      <w:szCs w:val="20"/>
    </w:rPr>
  </w:style>
  <w:style w:type="paragraph" w:customStyle="1" w:styleId="CharChar1">
    <w:name w:val="Char Char1"/>
    <w:basedOn w:val="Normal"/>
    <w:pPr>
      <w:spacing w:after="160" w:line="240" w:lineRule="exact"/>
    </w:pPr>
    <w:rPr>
      <w:rFonts w:ascii="Verdana" w:hAnsi="Verdana" w:cs="Verdana"/>
      <w:sz w:val="20"/>
      <w:szCs w:val="20"/>
    </w:rPr>
  </w:style>
  <w:style w:type="paragraph" w:styleId="Textoindependiente">
    <w:name w:val="Body Text"/>
    <w:basedOn w:val="Normal"/>
    <w:pPr>
      <w:jc w:val="both"/>
    </w:pPr>
    <w:rPr>
      <w:rFonts w:ascii="Arial" w:hAnsi="Arial" w:cs="Arial"/>
    </w:rPr>
  </w:style>
  <w:style w:type="paragraph" w:styleId="Textodeglobo">
    <w:name w:val="Balloon Text"/>
    <w:basedOn w:val="Normal"/>
    <w:rPr>
      <w:rFonts w:ascii="Tahoma" w:hAnsi="Tahoma" w:cs="Tahoma"/>
      <w:sz w:val="16"/>
      <w:szCs w:val="16"/>
    </w:rPr>
  </w:style>
  <w:style w:type="paragraph" w:customStyle="1" w:styleId="Default">
    <w:name w:val="Default"/>
    <w:rPr>
      <w:rFonts w:ascii="CenturyGothic-Bold" w:hAnsi="CenturyGothic-Bold" w:cs="CenturyGothic-Bold"/>
    </w:rPr>
  </w:style>
  <w:style w:type="paragraph" w:styleId="Textosinformato">
    <w:name w:val="Plain Text"/>
    <w:basedOn w:val="Normal"/>
    <w:rPr>
      <w:rFonts w:ascii="Courier New" w:hAnsi="Courier New" w:cs="Courier New"/>
      <w:sz w:val="20"/>
      <w:szCs w:val="20"/>
    </w:rPr>
  </w:style>
  <w:style w:type="paragraph" w:customStyle="1" w:styleId="Ttulo10">
    <w:name w:val="Título1"/>
    <w:basedOn w:val="Normal"/>
    <w:pPr>
      <w:jc w:val="center"/>
    </w:pPr>
    <w:rPr>
      <w:rFonts w:ascii="Arial" w:hAnsi="Arial" w:cs="Arial"/>
      <w:b/>
      <w:sz w:val="22"/>
      <w:szCs w:val="22"/>
      <w:u w:val="single"/>
    </w:rPr>
  </w:style>
  <w:style w:type="paragraph" w:styleId="Subttulo">
    <w:name w:val="Subtitle"/>
    <w:basedOn w:val="Heading"/>
    <w:next w:val="Textbody"/>
    <w:pPr>
      <w:jc w:val="center"/>
    </w:pPr>
    <w:rPr>
      <w:i/>
      <w:sz w:val="28"/>
      <w:szCs w:val="28"/>
    </w:rPr>
  </w:style>
  <w:style w:type="paragraph" w:styleId="Textonotapie">
    <w:name w:val="footnote text"/>
    <w:basedOn w:val="Normal"/>
    <w:rPr>
      <w:rFonts w:ascii="Courier New" w:hAnsi="Courier New" w:cs="Courier New"/>
      <w:b/>
      <w:sz w:val="22"/>
      <w:szCs w:val="22"/>
    </w:rPr>
  </w:style>
  <w:style w:type="paragraph" w:styleId="Continuarlista4">
    <w:name w:val="List Continue 4"/>
    <w:basedOn w:val="Normal"/>
    <w:pPr>
      <w:spacing w:after="120"/>
      <w:ind w:left="1132"/>
    </w:pPr>
    <w:rPr>
      <w:rFonts w:ascii="Tahoma" w:hAnsi="Tahoma" w:cs="Tahoma"/>
    </w:rPr>
  </w:style>
  <w:style w:type="paragraph" w:styleId="Prrafodelista">
    <w:name w:val="List Paragraph"/>
    <w:basedOn w:val="Normal"/>
    <w:pPr>
      <w:ind w:left="720"/>
    </w:pPr>
    <w:rPr>
      <w:rFonts w:ascii="Tahoma" w:hAnsi="Tahoma" w:cs="Tahoma"/>
    </w:rPr>
  </w:style>
  <w:style w:type="paragraph" w:styleId="Textocomentario">
    <w:name w:val="annotation text"/>
    <w:basedOn w:val="Normal"/>
    <w:rPr>
      <w:sz w:val="20"/>
      <w:szCs w:val="20"/>
    </w:rPr>
  </w:style>
  <w:style w:type="paragraph" w:styleId="Asuntodelcomentario">
    <w:name w:val="annotation subject"/>
    <w:basedOn w:val="Textocomentario"/>
    <w:next w:val="Textocomentario"/>
    <w:rPr>
      <w:b/>
    </w:rPr>
  </w:style>
  <w:style w:type="paragraph" w:customStyle="1" w:styleId="ecmsonormal">
    <w:name w:val="ec_msonormal"/>
    <w:basedOn w:val="Normal"/>
    <w:pPr>
      <w:spacing w:after="324"/>
    </w:pPr>
  </w:style>
  <w:style w:type="paragraph" w:customStyle="1" w:styleId="Titulo1">
    <w:name w:val="Titulo 1"/>
    <w:basedOn w:val="Normal"/>
    <w:pPr>
      <w:numPr>
        <w:numId w:val="8"/>
      </w:numPr>
      <w:spacing w:after="200" w:line="276" w:lineRule="auto"/>
      <w:jc w:val="both"/>
    </w:pPr>
    <w:rPr>
      <w:rFonts w:ascii="Calibri" w:hAnsi="Calibri" w:cs="Calibri"/>
      <w:b/>
      <w:sz w:val="22"/>
      <w:szCs w:val="22"/>
    </w:rPr>
  </w:style>
  <w:style w:type="paragraph" w:styleId="Encabezado">
    <w:name w:val="header"/>
    <w:basedOn w:val="Normal"/>
    <w:pPr>
      <w:tabs>
        <w:tab w:val="center" w:pos="4419"/>
        <w:tab w:val="right" w:pos="8838"/>
      </w:tabs>
    </w:pPr>
  </w:style>
  <w:style w:type="character" w:styleId="Nmerodepgina">
    <w:name w:val="page number"/>
    <w:basedOn w:val="Fuentedeprrafopredeter12"/>
  </w:style>
  <w:style w:type="character" w:customStyle="1" w:styleId="Refdenotaalpie">
    <w:name w:val="Ref.de nota al pie"/>
    <w:basedOn w:val="Fuentedeprrafopredeter12"/>
    <w:rPr>
      <w:vertAlign w:val="superscript"/>
    </w:rPr>
  </w:style>
  <w:style w:type="character" w:styleId="nfasis">
    <w:name w:val="Emphasis"/>
    <w:basedOn w:val="Fuentedeprrafopredeter12"/>
    <w:rPr>
      <w:i/>
    </w:rPr>
  </w:style>
  <w:style w:type="character" w:customStyle="1" w:styleId="Ttulo1Car">
    <w:name w:val="Título 1 Car"/>
    <w:basedOn w:val="Fuentedeprrafopredeter12"/>
    <w:rPr>
      <w:rFonts w:ascii="Arial" w:hAnsi="Arial" w:cs="Arial"/>
      <w:b/>
      <w:sz w:val="24"/>
      <w:szCs w:val="24"/>
    </w:rPr>
  </w:style>
  <w:style w:type="character" w:customStyle="1" w:styleId="Refdecomentario">
    <w:name w:val="Ref.de comentario"/>
    <w:basedOn w:val="Fuentedeprrafopredeter12"/>
    <w:rPr>
      <w:sz w:val="16"/>
      <w:szCs w:val="16"/>
    </w:rPr>
  </w:style>
  <w:style w:type="character" w:customStyle="1" w:styleId="TextocomentarioCar">
    <w:name w:val="Texto comentario Car"/>
    <w:basedOn w:val="Fuentedeprrafopredeter12"/>
  </w:style>
  <w:style w:type="character" w:customStyle="1" w:styleId="AsuntodelcomentarioCar">
    <w:name w:val="Asunto del comentario Car"/>
    <w:basedOn w:val="TextocomentarioCar"/>
    <w:rPr>
      <w:b/>
    </w:rPr>
  </w:style>
  <w:style w:type="character" w:customStyle="1" w:styleId="TextoindependienteCar">
    <w:name w:val="Texto independiente Car"/>
    <w:basedOn w:val="Fuentedeprrafopredeter12"/>
    <w:rPr>
      <w:rFonts w:ascii="Arial" w:hAnsi="Arial" w:cs="Arial"/>
      <w:sz w:val="24"/>
      <w:szCs w:val="24"/>
    </w:rPr>
  </w:style>
  <w:style w:type="character" w:customStyle="1" w:styleId="Titulo1Car">
    <w:name w:val="Titulo 1 Car"/>
    <w:basedOn w:val="Fuentedeprrafopredeter12"/>
    <w:rPr>
      <w:rFonts w:ascii="Calibri" w:hAnsi="Calibri" w:cs="Calibri"/>
      <w:b/>
      <w:sz w:val="22"/>
      <w:szCs w:val="22"/>
    </w:rPr>
  </w:style>
  <w:style w:type="character" w:customStyle="1" w:styleId="TextosinformatoCar">
    <w:name w:val="Texto sin formato Car"/>
    <w:basedOn w:val="Fuentedeprrafopredeter12"/>
    <w:rPr>
      <w:rFonts w:ascii="Courier New" w:hAnsi="Courier New" w:cs="Courier New"/>
    </w:rPr>
  </w:style>
  <w:style w:type="character" w:styleId="Hipervnculo">
    <w:name w:val="Hyperlink"/>
    <w:basedOn w:val="Fuentedeprrafopredeter12"/>
    <w:rPr>
      <w:color w:val="0000FF"/>
      <w:u w:val="single"/>
    </w:rPr>
  </w:style>
  <w:style w:type="character" w:customStyle="1" w:styleId="PiedepginaCar">
    <w:name w:val="Pie de página Car"/>
    <w:basedOn w:val="Fuentedeprrafopredeter12"/>
    <w:uiPriority w:val="99"/>
    <w:rPr>
      <w:sz w:val="24"/>
      <w:szCs w:val="24"/>
    </w:rPr>
  </w:style>
  <w:style w:type="character" w:customStyle="1" w:styleId="Internetlink">
    <w:name w:val="Internet link"/>
    <w:rPr>
      <w:color w:val="000080"/>
      <w:u w:val="single"/>
    </w:rPr>
  </w:style>
  <w:style w:type="character" w:customStyle="1" w:styleId="FootnoteSymbol">
    <w:name w:val="Footnote Symbol"/>
  </w:style>
  <w:style w:type="character" w:customStyle="1" w:styleId="EncabezadoCar">
    <w:name w:val="Encabezado Car"/>
    <w:basedOn w:val="Fuentedeprrafopredeter12"/>
    <w:rPr>
      <w:sz w:val="24"/>
      <w:szCs w:val="24"/>
    </w:rPr>
  </w:style>
  <w:style w:type="character" w:customStyle="1" w:styleId="PiedepginaCar1">
    <w:name w:val="Pie de página Car1"/>
    <w:basedOn w:val="Fuentedeprrafopredeter12"/>
    <w:rPr>
      <w:sz w:val="24"/>
      <w:szCs w:val="24"/>
    </w:rPr>
  </w:style>
  <w:style w:type="numbering" w:customStyle="1" w:styleId="LFO45">
    <w:name w:val="LFO45"/>
    <w:basedOn w:val="Sinlista"/>
    <w:pPr>
      <w:numPr>
        <w:numId w:val="8"/>
      </w:numPr>
    </w:pPr>
  </w:style>
  <w:style w:type="paragraph" w:styleId="Sinespaciado">
    <w:name w:val="No Spacing"/>
    <w:link w:val="SinespaciadoCar"/>
    <w:uiPriority w:val="1"/>
    <w:qFormat/>
    <w:rPr>
      <w:sz w:val="24"/>
      <w:szCs w:val="24"/>
    </w:rPr>
  </w:style>
  <w:style w:type="table" w:styleId="Tablaconcuadrcula">
    <w:name w:val="Table Grid"/>
    <w:basedOn w:val="Tablanormal"/>
    <w:uiPriority w:val="59"/>
    <w:rPr>
      <w:rFonts w:asciiTheme="minorHAnsi" w:hAnsiTheme="minorHAnsi" w:cs="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5" w:type="dxa"/>
        <w:right w:w="105" w:type="dxa"/>
      </w:tblCellMar>
    </w:tblPr>
  </w:style>
  <w:style w:type="character" w:customStyle="1" w:styleId="SinespaciadoCar">
    <w:name w:val="Sin espaciado Car"/>
    <w:link w:val="Sinespaciado"/>
    <w:uiPriority w:val="1"/>
    <w:rPr>
      <w:sz w:val="24"/>
      <w:szCs w:val="24"/>
    </w:rPr>
  </w:style>
  <w:style w:type="paragraph" w:styleId="Ttulo">
    <w:name w:val="Title"/>
    <w:basedOn w:val="Normal"/>
    <w:next w:val="Normal"/>
    <w:link w:val="TtuloCar"/>
    <w:uiPriority w:val="99"/>
    <w:qFormat/>
    <w:rsid w:val="006C427F"/>
    <w:rPr>
      <w:rFonts w:asciiTheme="majorHAnsi" w:hAnsiTheme="majorHAnsi" w:cs="Cambria"/>
      <w:sz w:val="56"/>
      <w:szCs w:val="56"/>
    </w:rPr>
  </w:style>
  <w:style w:type="character" w:customStyle="1" w:styleId="TtuloCar">
    <w:name w:val="Título Car"/>
    <w:basedOn w:val="Fuentedeprrafopredeter"/>
    <w:link w:val="Ttulo"/>
    <w:uiPriority w:val="99"/>
    <w:rsid w:val="006C427F"/>
    <w:rPr>
      <w:rFonts w:asciiTheme="majorHAnsi" w:hAnsiTheme="majorHAnsi" w:cs="Cambria"/>
      <w:sz w:val="56"/>
      <w:szCs w:val="56"/>
    </w:rPr>
  </w:style>
  <w:style w:type="character" w:styleId="Refdecomentario0">
    <w:name w:val="annotation reference"/>
    <w:basedOn w:val="Fuentedeprrafopredeter"/>
    <w:uiPriority w:val="99"/>
    <w:semiHidden/>
    <w:unhideWhenUsed/>
    <w:rsid w:val="00646546"/>
    <w:rPr>
      <w:sz w:val="16"/>
      <w:szCs w:val="16"/>
    </w:rPr>
  </w:style>
  <w:style w:type="paragraph" w:styleId="Revisin">
    <w:name w:val="Revision"/>
    <w:hidden/>
    <w:uiPriority w:val="99"/>
    <w:semiHidden/>
    <w:rsid w:val="00463ECF"/>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4235109">
      <w:bodyDiv w:val="1"/>
      <w:marLeft w:val="0"/>
      <w:marRight w:val="0"/>
      <w:marTop w:val="0"/>
      <w:marBottom w:val="0"/>
      <w:divBdr>
        <w:top w:val="none" w:sz="0" w:space="0" w:color="auto"/>
        <w:left w:val="none" w:sz="0" w:space="0" w:color="auto"/>
        <w:bottom w:val="none" w:sz="0" w:space="0" w:color="auto"/>
        <w:right w:val="none" w:sz="0" w:space="0" w:color="auto"/>
      </w:divBdr>
    </w:div>
    <w:div w:id="1812939845">
      <w:bodyDiv w:val="1"/>
      <w:marLeft w:val="0"/>
      <w:marRight w:val="0"/>
      <w:marTop w:val="0"/>
      <w:marBottom w:val="0"/>
      <w:divBdr>
        <w:top w:val="none" w:sz="0" w:space="0" w:color="auto"/>
        <w:left w:val="none" w:sz="0" w:space="0" w:color="auto"/>
        <w:bottom w:val="none" w:sz="0" w:space="0" w:color="auto"/>
        <w:right w:val="none" w:sz="0" w:space="0" w:color="auto"/>
      </w:divBdr>
      <w:divsChild>
        <w:div w:id="1293561525">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lphormaza@shd.vog.co"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nruizm@shd.gov.co"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radicacionhaciendabogota@shd.gov.co"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majorFont>
      <a:minorFont>
        <a:latin typeface="Calibri"/>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B2F8747C7AF38940BB4CED29FA1967D4" ma:contentTypeVersion="15" ma:contentTypeDescription="Crear nuevo documento." ma:contentTypeScope="" ma:versionID="b1970ca74f743e5c1d6c302fa60e77e3">
  <xsd:schema xmlns:xsd="http://www.w3.org/2001/XMLSchema" xmlns:xs="http://www.w3.org/2001/XMLSchema" xmlns:p="http://schemas.microsoft.com/office/2006/metadata/properties" xmlns:ns2="e32a24ea-59ed-40bb-9af5-57fb2f0cc76e" xmlns:ns3="28e54939-dac1-4bd2-a633-2f6642663aaa" targetNamespace="http://schemas.microsoft.com/office/2006/metadata/properties" ma:root="true" ma:fieldsID="42287a43608c13f8c0754b4d2094fca6" ns2:_="" ns3:_="">
    <xsd:import namespace="e32a24ea-59ed-40bb-9af5-57fb2f0cc76e"/>
    <xsd:import namespace="28e54939-dac1-4bd2-a633-2f6642663aaa"/>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ServiceLocation"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2a24ea-59ed-40bb-9af5-57fb2f0cc76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Etiquetas de imagen" ma:readOnly="false" ma:fieldId="{5cf76f15-5ced-4ddc-b409-7134ff3c332f}" ma:taxonomyMulti="true" ma:sspId="c83e8c56-8869-4a92-a27e-926bd736574e"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Location" ma:index="20" nillable="true" ma:displayName="Location" ma:indexed="true" ma:internalName="MediaServiceLocatio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8e54939-dac1-4bd2-a633-2f6642663aaa"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96072d31-71da-49a8-84a4-a4a66000df5c}" ma:internalName="TaxCatchAll" ma:showField="CatchAllData" ma:web="28e54939-dac1-4bd2-a633-2f6642663aaa">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SelectedStyle="\APA.XSL"/>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28e54939-dac1-4bd2-a633-2f6642663aaa" xsi:nil="true"/>
    <lcf76f155ced4ddcb4097134ff3c332f xmlns="e32a24ea-59ed-40bb-9af5-57fb2f0cc76e">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F0B95927-3353-4238-AD6C-1E921575736E}"/>
</file>

<file path=customXml/itemProps2.xml><?xml version="1.0" encoding="utf-8"?>
<ds:datastoreItem xmlns:ds="http://schemas.openxmlformats.org/officeDocument/2006/customXml" ds:itemID="{2E54C3E4-EAF6-440B-A5F3-11CCD5B391F8}">
  <ds:schemaRefs>
    <ds:schemaRef ds:uri="http://schemas.openxmlformats.org/officeDocument/2006/bibliography"/>
  </ds:schemaRefs>
</ds:datastoreItem>
</file>

<file path=customXml/itemProps3.xml><?xml version="1.0" encoding="utf-8"?>
<ds:datastoreItem xmlns:ds="http://schemas.openxmlformats.org/officeDocument/2006/customXml" ds:itemID="{AD469538-00A5-4619-AF57-BFBB5A033593}">
  <ds:schemaRefs>
    <ds:schemaRef ds:uri="http://schemas.microsoft.com/sharepoint/v3/contenttype/forms"/>
  </ds:schemaRefs>
</ds:datastoreItem>
</file>

<file path=customXml/itemProps4.xml><?xml version="1.0" encoding="utf-8"?>
<ds:datastoreItem xmlns:ds="http://schemas.openxmlformats.org/officeDocument/2006/customXml" ds:itemID="{726C1BE1-B5C1-4D22-8058-439ADC211F3D}">
  <ds:schemaRefs>
    <ds:schemaRef ds:uri="http://schemas.microsoft.com/office/2006/metadata/properties"/>
    <ds:schemaRef ds:uri="http://schemas.microsoft.com/office/infopath/2007/PartnerControls"/>
    <ds:schemaRef ds:uri="28e54939-dac1-4bd2-a633-2f6642663aaa"/>
    <ds:schemaRef ds:uri="e32a24ea-59ed-40bb-9af5-57fb2f0cc76e"/>
  </ds:schemaRefs>
</ds:datastoreItem>
</file>

<file path=docMetadata/LabelInfo.xml><?xml version="1.0" encoding="utf-8"?>
<clbl:labelList xmlns:clbl="http://schemas.microsoft.com/office/2020/mipLabelMetadata">
  <clbl:label id="{31b1c949-e2ef-4e9a-9ca2-7979a9f832fa}" enabled="0" method="" siteId="{31b1c949-e2ef-4e9a-9ca2-7979a9f832fa}" removed="1"/>
</clbl:labelList>
</file>

<file path=docProps/app.xml><?xml version="1.0" encoding="utf-8"?>
<Properties xmlns="http://schemas.openxmlformats.org/officeDocument/2006/extended-properties" xmlns:vt="http://schemas.openxmlformats.org/officeDocument/2006/docPropsVTypes">
  <Template>Normal.dotm</Template>
  <TotalTime>288</TotalTime>
  <Pages>3</Pages>
  <Words>1357</Words>
  <Characters>7468</Characters>
  <Application>Microsoft Office Word</Application>
  <DocSecurity>0</DocSecurity>
  <Lines>62</Lines>
  <Paragraphs>17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8808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Lupe Marcela Romero Cardozo</dc:creator>
  <cp:lastModifiedBy>María Paula Bahamón Sánchez</cp:lastModifiedBy>
  <cp:revision>62</cp:revision>
  <dcterms:created xsi:type="dcterms:W3CDTF">2026-05-05T13:24:00Z</dcterms:created>
  <dcterms:modified xsi:type="dcterms:W3CDTF">2026-05-07T02:56:00Z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0x010100B2F8747C7AF38940BB4CED29FA1967D4</vt:lpwstr>
  </property>
</Properties>
</file>